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3926" w:type="dxa"/>
        <w:tblInd w:w="96" w:type="dxa"/>
        <w:tblLayout w:type="fixed"/>
        <w:tblCellMar>
          <w:top w:w="0" w:type="dxa"/>
          <w:left w:w="108" w:type="dxa"/>
          <w:bottom w:w="0" w:type="dxa"/>
          <w:right w:w="108" w:type="dxa"/>
        </w:tblCellMar>
      </w:tblPr>
      <w:tblGrid>
        <w:gridCol w:w="2139"/>
        <w:gridCol w:w="2693"/>
        <w:gridCol w:w="9072"/>
        <w:gridCol w:w="22"/>
      </w:tblGrid>
      <w:tr>
        <w:tblPrEx>
          <w:tblCellMar>
            <w:top w:w="0" w:type="dxa"/>
            <w:left w:w="108" w:type="dxa"/>
            <w:bottom w:w="0" w:type="dxa"/>
            <w:right w:w="108" w:type="dxa"/>
          </w:tblCellMar>
        </w:tblPrEx>
        <w:trPr>
          <w:gridAfter w:val="1"/>
          <w:wAfter w:w="22" w:type="dxa"/>
          <w:trHeight w:val="540" w:hRule="atLeast"/>
        </w:trPr>
        <w:tc>
          <w:tcPr>
            <w:tcW w:w="2139" w:type="dxa"/>
            <w:tcBorders>
              <w:top w:val="single" w:color="auto" w:sz="4" w:space="0"/>
              <w:left w:val="single" w:color="auto" w:sz="4" w:space="0"/>
              <w:bottom w:val="single" w:color="auto" w:sz="4" w:space="0"/>
              <w:right w:val="single" w:color="000000" w:sz="8" w:space="0"/>
            </w:tcBorders>
            <w:shd w:val="clear" w:color="auto" w:fill="auto"/>
            <w:vAlign w:val="center"/>
          </w:tcPr>
          <w:p>
            <w:pPr>
              <w:jc w:val="center"/>
              <w:rPr>
                <w:rFonts w:ascii="黑体" w:hAnsi="黑体" w:eastAsia="黑体" w:cs="Times New Roman"/>
                <w:b/>
                <w:bCs/>
                <w:color w:val="auto"/>
                <w:sz w:val="28"/>
                <w:szCs w:val="28"/>
              </w:rPr>
            </w:pPr>
            <w:r>
              <w:rPr>
                <w:rFonts w:hint="eastAsia" w:ascii="黑体" w:hAnsi="黑体" w:eastAsia="黑体" w:cs="Times New Roman"/>
                <w:b/>
                <w:bCs/>
                <w:color w:val="auto"/>
                <w:sz w:val="28"/>
                <w:szCs w:val="28"/>
              </w:rPr>
              <w:t>新</w:t>
            </w:r>
            <w:r>
              <w:rPr>
                <w:rFonts w:ascii="黑体" w:hAnsi="黑体" w:eastAsia="黑体" w:cs="Times New Roman"/>
                <w:b/>
                <w:bCs/>
                <w:color w:val="auto"/>
                <w:sz w:val="28"/>
                <w:szCs w:val="28"/>
              </w:rPr>
              <w:t>申请代码</w:t>
            </w:r>
          </w:p>
        </w:tc>
        <w:tc>
          <w:tcPr>
            <w:tcW w:w="2693" w:type="dxa"/>
            <w:tcBorders>
              <w:top w:val="single" w:color="000000" w:sz="8" w:space="0"/>
              <w:left w:val="nil"/>
              <w:bottom w:val="single" w:color="000000" w:sz="8" w:space="0"/>
              <w:right w:val="single" w:color="000000" w:sz="8" w:space="0"/>
            </w:tcBorders>
            <w:shd w:val="clear" w:color="auto" w:fill="auto"/>
            <w:vAlign w:val="center"/>
          </w:tcPr>
          <w:p>
            <w:pPr>
              <w:jc w:val="center"/>
              <w:rPr>
                <w:rFonts w:ascii="黑体" w:hAnsi="黑体" w:eastAsia="黑体" w:cs="Times New Roman"/>
                <w:b/>
                <w:bCs/>
                <w:color w:val="auto"/>
                <w:sz w:val="28"/>
                <w:szCs w:val="28"/>
              </w:rPr>
            </w:pPr>
            <w:r>
              <w:rPr>
                <w:rFonts w:ascii="黑体" w:hAnsi="黑体" w:eastAsia="黑体" w:cs="Times New Roman"/>
                <w:b/>
                <w:bCs/>
                <w:color w:val="auto"/>
                <w:sz w:val="28"/>
                <w:szCs w:val="28"/>
              </w:rPr>
              <w:t>原申请代码</w:t>
            </w:r>
          </w:p>
        </w:tc>
        <w:tc>
          <w:tcPr>
            <w:tcW w:w="90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ascii="黑体" w:hAnsi="黑体" w:eastAsia="黑体" w:cs="Times New Roman"/>
                <w:b/>
                <w:bCs/>
                <w:color w:val="auto"/>
                <w:sz w:val="28"/>
                <w:szCs w:val="28"/>
              </w:rPr>
              <w:t>资助范围</w:t>
            </w:r>
          </w:p>
        </w:tc>
      </w:tr>
      <w:tr>
        <w:tblPrEx>
          <w:tblCellMar>
            <w:top w:w="0" w:type="dxa"/>
            <w:left w:w="108" w:type="dxa"/>
            <w:bottom w:w="0" w:type="dxa"/>
            <w:right w:w="108" w:type="dxa"/>
          </w:tblCellMar>
        </w:tblPrEx>
        <w:trPr>
          <w:gridAfter w:val="1"/>
          <w:wAfter w:w="22" w:type="dxa"/>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G0101</w:t>
            </w:r>
            <w:r>
              <w:rPr>
                <w:rFonts w:hint="eastAsia" w:ascii="宋体" w:hAnsi="宋体" w:eastAsia="宋体" w:cs="宋体"/>
                <w:color w:val="auto"/>
                <w:kern w:val="0"/>
                <w:szCs w:val="21"/>
              </w:rPr>
              <w:t>复杂系统管理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新增代码</w:t>
            </w:r>
          </w:p>
        </w:tc>
        <w:tc>
          <w:tcPr>
            <w:tcW w:w="907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主要研究方向包括：复杂系统理论,复杂网络理论与方法,综合集成方法论,复杂性研究,复杂系统分析,复杂系统建模,复杂系统协同与治理,复杂系统风险与安全管理,复杂系统智能管理,复杂系统管理应用</w:t>
            </w:r>
          </w:p>
        </w:tc>
      </w:tr>
      <w:tr>
        <w:tblPrEx>
          <w:tblCellMar>
            <w:top w:w="0" w:type="dxa"/>
            <w:left w:w="108" w:type="dxa"/>
            <w:bottom w:w="0" w:type="dxa"/>
            <w:right w:w="108" w:type="dxa"/>
          </w:tblCellMar>
        </w:tblPrEx>
        <w:trPr>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G0102</w:t>
            </w:r>
            <w:r>
              <w:rPr>
                <w:rFonts w:hint="eastAsia" w:ascii="宋体" w:hAnsi="宋体" w:eastAsia="宋体" w:cs="宋体"/>
                <w:color w:val="auto"/>
                <w:kern w:val="0"/>
                <w:szCs w:val="21"/>
              </w:rPr>
              <w:t>运筹与管理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G0102</w:t>
            </w:r>
            <w:r>
              <w:rPr>
                <w:rFonts w:hint="eastAsia" w:ascii="宋体" w:hAnsi="宋体" w:eastAsia="宋体" w:cs="宋体"/>
                <w:color w:val="auto"/>
                <w:kern w:val="0"/>
                <w:szCs w:val="21"/>
              </w:rPr>
              <w:t>运筹与管理</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主要研究方向包括：缓冲管理,干扰管理,绿色供应链,装箱问题,优化理论与方法,进化算法,变分不等式,整数规划,进化计算方法,车辆路径问题,集成优化,调度模型,,库存理论,库存运输模型,生产调度,排队论</w:t>
            </w:r>
          </w:p>
        </w:tc>
      </w:tr>
      <w:tr>
        <w:tblPrEx>
          <w:tblCellMar>
            <w:top w:w="0" w:type="dxa"/>
            <w:left w:w="108" w:type="dxa"/>
            <w:bottom w:w="0" w:type="dxa"/>
            <w:right w:w="108" w:type="dxa"/>
          </w:tblCellMar>
        </w:tblPrEx>
        <w:trPr>
          <w:trHeight w:val="969"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G0103</w:t>
            </w:r>
            <w:r>
              <w:rPr>
                <w:rFonts w:hint="eastAsia" w:ascii="宋体" w:hAnsi="宋体" w:eastAsia="宋体" w:cs="宋体"/>
                <w:color w:val="auto"/>
                <w:kern w:val="0"/>
                <w:szCs w:val="21"/>
              </w:rPr>
              <w:t>决策与博弈</w:t>
            </w:r>
          </w:p>
          <w:p>
            <w:pPr>
              <w:jc w:val="center"/>
              <w:rPr>
                <w:rFonts w:ascii="宋体" w:hAnsi="宋体" w:eastAsia="宋体" w:cs="宋体"/>
                <w:color w:val="auto"/>
                <w:kern w:val="0"/>
                <w:szCs w:val="21"/>
              </w:rPr>
            </w:pP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G0103</w:t>
            </w:r>
            <w:r>
              <w:rPr>
                <w:rFonts w:hint="eastAsia" w:ascii="宋体" w:hAnsi="宋体" w:eastAsia="宋体" w:cs="宋体"/>
                <w:color w:val="auto"/>
                <w:kern w:val="0"/>
                <w:szCs w:val="21"/>
              </w:rPr>
              <w:t>决策理论与方法</w:t>
            </w:r>
          </w:p>
        </w:tc>
        <w:tc>
          <w:tcPr>
            <w:tcW w:w="909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决策与博弈研究互动决策的问题，即各行动方的决策是互相影响的，每个行动方在做决策时必须将他人的决策纳入自己的决策考虑之中，选择最有利于自己的策略。主要研究方向包括：决策理论与方法,风险型决策方法,不确定型决策方法,应急管理,决策过程,群决策方法,集约生产计划,风险投资决策,战争复杂系统,网络组织决策,在线决策方法,多属性决策方法,随机占优理论,多物品拍卖,博弈学习理论,社会选择理论,机制设计,合作博弈,拍卖理论,实施理论,演化博弈,协商理论与方法,非合作博弈,仲裁理论,演化博弈理论,实验博弈论</w:t>
            </w:r>
          </w:p>
        </w:tc>
      </w:tr>
      <w:tr>
        <w:tblPrEx>
          <w:tblCellMar>
            <w:top w:w="0" w:type="dxa"/>
            <w:left w:w="108" w:type="dxa"/>
            <w:bottom w:w="0" w:type="dxa"/>
            <w:right w:w="108" w:type="dxa"/>
          </w:tblCellMar>
        </w:tblPrEx>
        <w:trPr>
          <w:trHeight w:val="525"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G0104</w:t>
            </w:r>
            <w:r>
              <w:rPr>
                <w:rFonts w:hint="eastAsia" w:ascii="宋体" w:hAnsi="宋体" w:eastAsia="宋体" w:cs="宋体"/>
                <w:color w:val="auto"/>
                <w:kern w:val="0"/>
                <w:szCs w:val="21"/>
              </w:rPr>
              <w:t>博弈理论与方法</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525"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G0104</w:t>
            </w:r>
            <w:r>
              <w:rPr>
                <w:rFonts w:hint="eastAsia" w:ascii="宋体" w:hAnsi="宋体" w:eastAsia="宋体" w:cs="宋体"/>
                <w:color w:val="auto"/>
                <w:kern w:val="0"/>
                <w:szCs w:val="21"/>
              </w:rPr>
              <w:t>预测与评价</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G0105</w:t>
            </w:r>
            <w:r>
              <w:rPr>
                <w:rFonts w:hint="eastAsia" w:ascii="宋体" w:hAnsi="宋体" w:eastAsia="宋体" w:cs="宋体"/>
                <w:color w:val="auto"/>
                <w:kern w:val="0"/>
                <w:szCs w:val="21"/>
              </w:rPr>
              <w:t>评价理论与方法</w:t>
            </w:r>
          </w:p>
        </w:tc>
        <w:tc>
          <w:tcPr>
            <w:tcW w:w="909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预测是指根据过去和现在的已知因素，运用人们的知识、经验和科学方法，对未来进行预计，并推测事务未来的发展趋势；评价是指对评价对象进行估量，也可包括对基于预测的决策结果的评价。主要研究方向包括：评价理论与方法,企业评价,经济评价,生命周期评价方法,科技评价,预测方法,灰色预测模型,预测理论基础,时间序列预测,回归预测,预测应用与实践</w:t>
            </w:r>
          </w:p>
        </w:tc>
      </w:tr>
      <w:tr>
        <w:tblPrEx>
          <w:tblCellMar>
            <w:top w:w="0" w:type="dxa"/>
            <w:left w:w="108" w:type="dxa"/>
            <w:bottom w:w="0" w:type="dxa"/>
            <w:right w:w="108" w:type="dxa"/>
          </w:tblCellMar>
        </w:tblPrEx>
        <w:trPr>
          <w:trHeight w:val="525"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G0106</w:t>
            </w:r>
            <w:r>
              <w:rPr>
                <w:rFonts w:hint="eastAsia" w:ascii="宋体" w:hAnsi="宋体" w:eastAsia="宋体" w:cs="宋体"/>
                <w:color w:val="auto"/>
                <w:kern w:val="0"/>
                <w:szCs w:val="21"/>
              </w:rPr>
              <w:t>预测理论与方法</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780"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G0105</w:t>
            </w:r>
            <w:r>
              <w:rPr>
                <w:rFonts w:hint="eastAsia" w:ascii="宋体" w:hAnsi="宋体" w:eastAsia="宋体" w:cs="宋体"/>
                <w:color w:val="auto"/>
                <w:kern w:val="0"/>
                <w:szCs w:val="21"/>
              </w:rPr>
              <w:t>管理统计理论与方法</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G0107</w:t>
            </w:r>
            <w:r>
              <w:rPr>
                <w:rFonts w:hint="eastAsia" w:ascii="宋体" w:hAnsi="宋体" w:eastAsia="宋体" w:cs="宋体"/>
                <w:color w:val="auto"/>
                <w:kern w:val="0"/>
                <w:szCs w:val="21"/>
              </w:rPr>
              <w:t>管理统计理论与方法</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主要研究方向包括：金融数据分析,时间序列分析,面板数据模型,区间数据模型,大数据分析,政策评估,非参数统计,风险管理,贝叶斯分析,复杂数据建模,估计方法,统计检验</w:t>
            </w:r>
          </w:p>
        </w:tc>
      </w:tr>
      <w:tr>
        <w:tblPrEx>
          <w:tblCellMar>
            <w:top w:w="0" w:type="dxa"/>
            <w:left w:w="108" w:type="dxa"/>
            <w:bottom w:w="0" w:type="dxa"/>
            <w:right w:w="108" w:type="dxa"/>
          </w:tblCellMar>
        </w:tblPrEx>
        <w:trPr>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G0106</w:t>
            </w:r>
            <w:r>
              <w:rPr>
                <w:rFonts w:hint="eastAsia" w:ascii="宋体" w:hAnsi="宋体" w:eastAsia="宋体" w:cs="宋体"/>
                <w:color w:val="auto"/>
                <w:kern w:val="0"/>
                <w:szCs w:val="21"/>
              </w:rPr>
              <w:t>管理心理与行为</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G0108</w:t>
            </w:r>
            <w:r>
              <w:rPr>
                <w:rFonts w:hint="eastAsia" w:ascii="宋体" w:hAnsi="宋体" w:eastAsia="宋体" w:cs="宋体"/>
                <w:color w:val="auto"/>
                <w:kern w:val="0"/>
                <w:szCs w:val="21"/>
              </w:rPr>
              <w:t>管理心理与行为</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积极组织行为,创造力与创新,群体行为,知识分享,决策心理与行为,管理心理学,压力管理,安全心理与行为,情绪工作,组织公民行为,非伦理行为,消费投资行为,风险行为,积极心理学,领导心理与行为,中国文化与领导有效性,团队有效性,员工建言行为,组织变革,胜任力模型,组织与工作设计</w:t>
            </w:r>
          </w:p>
        </w:tc>
      </w:tr>
      <w:tr>
        <w:tblPrEx>
          <w:tblCellMar>
            <w:top w:w="0" w:type="dxa"/>
            <w:left w:w="108" w:type="dxa"/>
            <w:bottom w:w="0" w:type="dxa"/>
            <w:right w:w="108" w:type="dxa"/>
          </w:tblCellMar>
        </w:tblPrEx>
        <w:trPr>
          <w:trHeight w:val="780"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G0107</w:t>
            </w:r>
            <w:r>
              <w:rPr>
                <w:rFonts w:hint="eastAsia" w:ascii="宋体" w:hAnsi="宋体" w:eastAsia="宋体" w:cs="宋体"/>
                <w:color w:val="auto"/>
                <w:kern w:val="0"/>
                <w:szCs w:val="21"/>
              </w:rPr>
              <w:t>管理系统工程</w:t>
            </w:r>
          </w:p>
        </w:tc>
        <w:tc>
          <w:tcPr>
            <w:tcW w:w="2693"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G0101</w:t>
            </w:r>
            <w:r>
              <w:rPr>
                <w:rFonts w:hint="eastAsia" w:ascii="宋体" w:hAnsi="宋体" w:eastAsia="宋体" w:cs="宋体"/>
                <w:color w:val="auto"/>
                <w:kern w:val="0"/>
                <w:szCs w:val="21"/>
              </w:rPr>
              <w:t>管理理论与研究方法论</w:t>
            </w:r>
          </w:p>
        </w:tc>
        <w:tc>
          <w:tcPr>
            <w:tcW w:w="909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管理系统工程是以企业管理系统为研究对象，以系统科学、运筹学和计算机应用技术为主要工具，实现管理系统整体功能的提高。主要研究方向包括：系统建模,系统分析,生态能源工程,计算机模拟,集群,网络结构复杂性,系统演化复杂性,网络动态过程,社会系统管理复杂性,经济系统管理复杂性,信息传播复杂性,生态能源管理复杂性,复杂巨系统工程</w:t>
            </w:r>
          </w:p>
        </w:tc>
      </w:tr>
      <w:tr>
        <w:tblPrEx>
          <w:tblCellMar>
            <w:top w:w="0" w:type="dxa"/>
            <w:left w:w="108" w:type="dxa"/>
            <w:bottom w:w="0" w:type="dxa"/>
            <w:right w:w="108" w:type="dxa"/>
          </w:tblCellMar>
        </w:tblPrEx>
        <w:trPr>
          <w:trHeight w:val="761" w:hRule="atLeast"/>
        </w:trPr>
        <w:tc>
          <w:tcPr>
            <w:tcW w:w="2139" w:type="dxa"/>
            <w:vMerge w:val="continue"/>
            <w:tcBorders>
              <w:left w:val="single" w:color="auto" w:sz="4" w:space="0"/>
              <w:right w:val="single" w:color="000000" w:sz="8" w:space="0"/>
            </w:tcBorders>
            <w:shd w:val="clear" w:color="auto" w:fill="auto"/>
            <w:vAlign w:val="center"/>
          </w:tcPr>
          <w:p>
            <w:pPr>
              <w:jc w:val="center"/>
              <w:rPr>
                <w:rFonts w:ascii="宋体" w:hAnsi="宋体" w:eastAsia="宋体" w:cs="宋体"/>
                <w:color w:val="auto"/>
                <w:kern w:val="0"/>
                <w:szCs w:val="21"/>
              </w:rPr>
            </w:pPr>
          </w:p>
        </w:tc>
        <w:tc>
          <w:tcPr>
            <w:tcW w:w="2693" w:type="dxa"/>
            <w:tcBorders>
              <w:top w:val="nil"/>
              <w:left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G0109</w:t>
            </w:r>
            <w:r>
              <w:rPr>
                <w:rFonts w:hint="eastAsia" w:ascii="宋体" w:hAnsi="宋体" w:eastAsia="宋体" w:cs="宋体"/>
                <w:color w:val="auto"/>
                <w:kern w:val="0"/>
                <w:szCs w:val="21"/>
              </w:rPr>
              <w:t>管理系统工程（含</w:t>
            </w:r>
            <w:r>
              <w:rPr>
                <w:rFonts w:ascii="Times New Roman" w:hAnsi="Times New Roman" w:eastAsia="宋体" w:cs="Times New Roman"/>
                <w:color w:val="auto"/>
                <w:kern w:val="0"/>
                <w:szCs w:val="21"/>
              </w:rPr>
              <w:t>G010901</w:t>
            </w: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G010902</w:t>
            </w: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G010903</w:t>
            </w:r>
            <w:r>
              <w:rPr>
                <w:rFonts w:hint="eastAsia" w:ascii="宋体" w:hAnsi="宋体" w:eastAsia="宋体" w:cs="宋体"/>
                <w:color w:val="auto"/>
                <w:kern w:val="0"/>
                <w:szCs w:val="21"/>
              </w:rPr>
              <w:t>）</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454"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G0108</w:t>
            </w:r>
            <w:r>
              <w:rPr>
                <w:rFonts w:hint="eastAsia" w:ascii="宋体" w:hAnsi="宋体" w:eastAsia="宋体" w:cs="宋体"/>
                <w:color w:val="auto"/>
                <w:kern w:val="0"/>
                <w:szCs w:val="21"/>
              </w:rPr>
              <w:t>工业工程与质量管理</w:t>
            </w:r>
          </w:p>
          <w:p>
            <w:pPr>
              <w:jc w:val="center"/>
              <w:rPr>
                <w:rFonts w:ascii="宋体" w:hAnsi="宋体" w:eastAsia="宋体" w:cs="宋体"/>
                <w:color w:val="auto"/>
                <w:kern w:val="0"/>
                <w:szCs w:val="21"/>
              </w:rPr>
            </w:pPr>
          </w:p>
        </w:tc>
        <w:tc>
          <w:tcPr>
            <w:tcW w:w="2693"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G0110</w:t>
            </w:r>
            <w:r>
              <w:rPr>
                <w:rFonts w:hint="eastAsia" w:ascii="宋体" w:hAnsi="宋体" w:eastAsia="宋体" w:cs="宋体"/>
                <w:color w:val="auto"/>
                <w:kern w:val="0"/>
                <w:szCs w:val="21"/>
              </w:rPr>
              <w:t>工业工程与管理</w:t>
            </w:r>
          </w:p>
        </w:tc>
        <w:tc>
          <w:tcPr>
            <w:tcW w:w="909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工业工程与质量管理涉及制造系统的管理与优化问题。主要研究方向包括：业务过程,人因与工效学,制造服务,产品开发管理,生产系统,生产管理,生产模式,质量工程,资源约束,处方工程学,产品服务系统,工业物联网与大数据,可靠性工程,系统可靠性,流程管理与优化,服务型制造,设施规划与布局,生产计划与调度,社会化制造,需求管理,收益管理,试验设计,质量管理理论与方法,统计过程控制,抽样检验,可靠性分析</w:t>
            </w:r>
          </w:p>
        </w:tc>
      </w:tr>
      <w:tr>
        <w:tblPrEx>
          <w:tblCellMar>
            <w:top w:w="0" w:type="dxa"/>
            <w:left w:w="108" w:type="dxa"/>
            <w:bottom w:w="0" w:type="dxa"/>
            <w:right w:w="108" w:type="dxa"/>
          </w:tblCellMar>
        </w:tblPrEx>
        <w:trPr>
          <w:trHeight w:val="454" w:hRule="atLeast"/>
        </w:trPr>
        <w:tc>
          <w:tcPr>
            <w:tcW w:w="2139" w:type="dxa"/>
            <w:vMerge w:val="continue"/>
            <w:tcBorders>
              <w:top w:val="nil"/>
              <w:left w:val="single" w:color="auto" w:sz="4"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p>
        </w:tc>
        <w:tc>
          <w:tcPr>
            <w:tcW w:w="2693"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G0113</w:t>
            </w:r>
            <w:r>
              <w:rPr>
                <w:rFonts w:hint="eastAsia" w:ascii="宋体" w:hAnsi="宋体" w:eastAsia="宋体" w:cs="宋体"/>
                <w:color w:val="auto"/>
                <w:kern w:val="0"/>
                <w:szCs w:val="21"/>
              </w:rPr>
              <w:t>系统可靠性与管理</w:t>
            </w:r>
          </w:p>
        </w:tc>
        <w:tc>
          <w:tcPr>
            <w:tcW w:w="9094" w:type="dxa"/>
            <w:gridSpan w:val="2"/>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宋体" w:hAnsi="宋体" w:eastAsia="宋体" w:cs="宋体"/>
                <w:color w:val="auto"/>
                <w:kern w:val="0"/>
                <w:szCs w:val="21"/>
              </w:rPr>
            </w:pPr>
          </w:p>
        </w:tc>
      </w:tr>
      <w:tr>
        <w:tblPrEx>
          <w:tblCellMar>
            <w:top w:w="0" w:type="dxa"/>
            <w:left w:w="108" w:type="dxa"/>
            <w:bottom w:w="0" w:type="dxa"/>
            <w:right w:w="108" w:type="dxa"/>
          </w:tblCellMar>
        </w:tblPrEx>
        <w:trPr>
          <w:trHeight w:val="780"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p>
        </w:tc>
        <w:tc>
          <w:tcPr>
            <w:tcW w:w="2693"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G020802质量管理</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G0109</w:t>
            </w:r>
            <w:r>
              <w:rPr>
                <w:rFonts w:hint="eastAsia" w:ascii="宋体" w:hAnsi="宋体" w:eastAsia="宋体" w:cs="宋体"/>
                <w:color w:val="auto"/>
                <w:kern w:val="0"/>
                <w:szCs w:val="21"/>
              </w:rPr>
              <w:t>物流与供应链管理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G0111</w:t>
            </w:r>
            <w:r>
              <w:rPr>
                <w:rFonts w:hint="eastAsia" w:ascii="宋体" w:hAnsi="宋体" w:eastAsia="宋体" w:cs="宋体"/>
                <w:color w:val="auto"/>
                <w:kern w:val="0"/>
                <w:szCs w:val="21"/>
              </w:rPr>
              <w:t>物流与供应链理论</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物流与供应链是指从产品或服务市场需求开始，到满足需求为止的时间范围内所从事的经济活动中所有涉及到的物流活动的部分所形成的链条。主要研究方向包括：供应链质量管理,服务供应链,渠道结构管理,行为供应链管理,供应不确定性,供应链协调管理,虚拟供应链,闭环供应链,库存管理,供应链优化,供应链应急管理,生鲜农产品供应链,供应链契约理论,多渠道供应链,信息不对称,供应链风险管理,供应链主体,供应链绩效管理</w:t>
            </w:r>
          </w:p>
        </w:tc>
      </w:tr>
      <w:tr>
        <w:tblPrEx>
          <w:tblCellMar>
            <w:top w:w="0" w:type="dxa"/>
            <w:left w:w="108" w:type="dxa"/>
            <w:bottom w:w="0" w:type="dxa"/>
            <w:right w:w="108" w:type="dxa"/>
          </w:tblCellMar>
        </w:tblPrEx>
        <w:trPr>
          <w:trHeight w:val="503"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G0110</w:t>
            </w:r>
            <w:r>
              <w:rPr>
                <w:rFonts w:hint="eastAsia" w:ascii="宋体" w:hAnsi="宋体" w:eastAsia="宋体" w:cs="宋体"/>
                <w:color w:val="auto"/>
                <w:kern w:val="0"/>
                <w:szCs w:val="21"/>
              </w:rPr>
              <w:t>服务科学与工程</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G0112</w:t>
            </w:r>
            <w:r>
              <w:rPr>
                <w:rFonts w:hint="eastAsia" w:ascii="宋体" w:hAnsi="宋体" w:eastAsia="宋体" w:cs="宋体"/>
                <w:color w:val="auto"/>
                <w:kern w:val="0"/>
                <w:szCs w:val="21"/>
              </w:rPr>
              <w:t>服务科学与工程</w:t>
            </w:r>
          </w:p>
        </w:tc>
        <w:tc>
          <w:tcPr>
            <w:tcW w:w="9094" w:type="dxa"/>
            <w:gridSpan w:val="2"/>
            <w:vMerge w:val="restart"/>
            <w:tcBorders>
              <w:top w:val="nil"/>
              <w:left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服务行为,服务创新,服务组织,服务质量,服务业态,服务创新,服务过程中的顾客体验,服务价值的测量与优化,公共服务,信息服务,医疗卫生服务,服务转型,供应链服务,金融服务,服务战略,服务文化,服务设计开发,服务网络,服务营销</w:t>
            </w:r>
          </w:p>
        </w:tc>
      </w:tr>
      <w:tr>
        <w:tblPrEx>
          <w:tblCellMar>
            <w:top w:w="0" w:type="dxa"/>
            <w:left w:w="108" w:type="dxa"/>
            <w:bottom w:w="0" w:type="dxa"/>
            <w:right w:w="108" w:type="dxa"/>
          </w:tblCellMar>
        </w:tblPrEx>
        <w:trPr>
          <w:trHeight w:val="415"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p>
        </w:tc>
        <w:tc>
          <w:tcPr>
            <w:tcW w:w="2693" w:type="dxa"/>
            <w:tcBorders>
              <w:top w:val="single" w:color="000000" w:sz="8" w:space="0"/>
              <w:left w:val="nil"/>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G021102服务管理</w:t>
            </w:r>
          </w:p>
        </w:tc>
        <w:tc>
          <w:tcPr>
            <w:tcW w:w="9094"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Cs w:val="21"/>
              </w:rPr>
            </w:pPr>
          </w:p>
        </w:tc>
      </w:tr>
      <w:tr>
        <w:tblPrEx>
          <w:tblCellMar>
            <w:top w:w="0" w:type="dxa"/>
            <w:left w:w="108" w:type="dxa"/>
            <w:bottom w:w="0" w:type="dxa"/>
            <w:right w:w="108" w:type="dxa"/>
          </w:tblCellMar>
        </w:tblPrEx>
        <w:trPr>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G0111</w:t>
            </w:r>
            <w:r>
              <w:rPr>
                <w:rFonts w:hint="eastAsia" w:ascii="宋体" w:hAnsi="宋体" w:eastAsia="宋体" w:cs="宋体"/>
                <w:color w:val="auto"/>
                <w:kern w:val="0"/>
                <w:szCs w:val="21"/>
              </w:rPr>
              <w:t>数据科学与管理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主要研究方向包括：数据科学理论与方法,大数据分析与管理行为,数据价值评估,数据安全管理,数据利用与隐私保护,数据流通与服务,大数据价值链,数据智能,数据资源开发及应用,数据驱动的决策方法</w:t>
            </w:r>
          </w:p>
        </w:tc>
      </w:tr>
      <w:tr>
        <w:tblPrEx>
          <w:tblCellMar>
            <w:top w:w="0" w:type="dxa"/>
            <w:left w:w="108" w:type="dxa"/>
            <w:bottom w:w="0" w:type="dxa"/>
            <w:right w:w="108" w:type="dxa"/>
          </w:tblCellMar>
        </w:tblPrEx>
        <w:trPr>
          <w:trHeight w:val="525"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G0112</w:t>
            </w:r>
            <w:r>
              <w:rPr>
                <w:rFonts w:hint="eastAsia" w:ascii="宋体" w:hAnsi="宋体" w:eastAsia="宋体" w:cs="宋体"/>
                <w:color w:val="auto"/>
                <w:kern w:val="0"/>
                <w:szCs w:val="21"/>
              </w:rPr>
              <w:t>信息系统与管理</w:t>
            </w:r>
          </w:p>
        </w:tc>
        <w:tc>
          <w:tcPr>
            <w:tcW w:w="2693"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G0114</w:t>
            </w:r>
            <w:r>
              <w:rPr>
                <w:rFonts w:hint="eastAsia" w:ascii="宋体" w:hAnsi="宋体" w:eastAsia="宋体" w:cs="宋体"/>
                <w:color w:val="auto"/>
                <w:kern w:val="0"/>
                <w:szCs w:val="21"/>
              </w:rPr>
              <w:t>信息系统与管理（含G011401、G011402、G011403）</w:t>
            </w:r>
          </w:p>
        </w:tc>
        <w:tc>
          <w:tcPr>
            <w:tcW w:w="909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信息系统与管理是以信息为核心资源，以信息技术为核心能力，面向宏观与微观各层面的管理实践问题。主要研究方向包括：管理信息系统,企业内容管理,在线口碑,信息技术投资,跨平台系统,系统用户行为,信息系统采纳,ERP系统实施,云计算,信息技术采纳,物联网,移动商务,人机交互,信息系统外包,知识支持,非结构化决策,语义网,分布式决策支持,医疗与健康决策支持，贝叶斯网络，数据可视化，数据挖掘技术，流形学习，不完备信息系统，客户行为分析，信息服务产业，数据仓库，用户建模，分类，聚类分析，数据挖掘，数据预处理，文本挖掘，信息过滤,社会网络分析,知识管理,知识型团队,组织学习,知识交流,社交网络知识管理,知识分享，默会知识，知识共享，知识生产，知识创新，显性知识，知识网络，知识库，知识结构，知识流动，知识推理，知识供应链，知识获取，知识资源，智力资源</w:t>
            </w:r>
          </w:p>
        </w:tc>
      </w:tr>
      <w:tr>
        <w:tblPrEx>
          <w:tblCellMar>
            <w:top w:w="0" w:type="dxa"/>
            <w:left w:w="108" w:type="dxa"/>
            <w:bottom w:w="0" w:type="dxa"/>
            <w:right w:w="108" w:type="dxa"/>
          </w:tblCellMar>
        </w:tblPrEx>
        <w:trPr>
          <w:trHeight w:val="912" w:hRule="atLeast"/>
        </w:trPr>
        <w:tc>
          <w:tcPr>
            <w:tcW w:w="2139" w:type="dxa"/>
            <w:vMerge w:val="continue"/>
            <w:tcBorders>
              <w:left w:val="single" w:color="auto" w:sz="4" w:space="0"/>
              <w:right w:val="single" w:color="000000" w:sz="8" w:space="0"/>
            </w:tcBorders>
            <w:shd w:val="clear" w:color="auto" w:fill="auto"/>
            <w:vAlign w:val="center"/>
          </w:tcPr>
          <w:p>
            <w:pPr>
              <w:jc w:val="center"/>
              <w:rPr>
                <w:rFonts w:ascii="宋体" w:hAnsi="宋体" w:eastAsia="宋体" w:cs="宋体"/>
                <w:color w:val="auto"/>
                <w:kern w:val="0"/>
                <w:szCs w:val="21"/>
              </w:rPr>
            </w:pPr>
          </w:p>
        </w:tc>
        <w:tc>
          <w:tcPr>
            <w:tcW w:w="2693" w:type="dxa"/>
            <w:tcBorders>
              <w:top w:val="single" w:color="000000" w:sz="8" w:space="0"/>
              <w:left w:val="single" w:color="000000" w:sz="8" w:space="0"/>
              <w:bottom w:val="single" w:color="000000" w:sz="6"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G020901企业信息资源管理</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268"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p>
        </w:tc>
        <w:tc>
          <w:tcPr>
            <w:tcW w:w="2693" w:type="dxa"/>
            <w:tcBorders>
              <w:top w:val="single" w:color="000000" w:sz="6" w:space="0"/>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G0115</w:t>
            </w:r>
            <w:r>
              <w:rPr>
                <w:rFonts w:hint="eastAsia" w:ascii="宋体" w:hAnsi="宋体" w:eastAsia="宋体" w:cs="宋体"/>
                <w:color w:val="auto"/>
                <w:kern w:val="0"/>
                <w:szCs w:val="21"/>
              </w:rPr>
              <w:t>知识管理</w:t>
            </w:r>
          </w:p>
        </w:tc>
        <w:tc>
          <w:tcPr>
            <w:tcW w:w="909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Cs w:val="21"/>
              </w:rPr>
            </w:pPr>
          </w:p>
        </w:tc>
      </w:tr>
      <w:tr>
        <w:tblPrEx>
          <w:tblCellMar>
            <w:top w:w="0" w:type="dxa"/>
            <w:left w:w="108" w:type="dxa"/>
            <w:bottom w:w="0" w:type="dxa"/>
            <w:right w:w="108" w:type="dxa"/>
          </w:tblCellMar>
        </w:tblPrEx>
        <w:trPr>
          <w:trHeight w:val="28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G0113</w:t>
            </w:r>
            <w:r>
              <w:rPr>
                <w:rFonts w:hint="eastAsia" w:ascii="宋体" w:hAnsi="宋体" w:eastAsia="宋体" w:cs="宋体"/>
                <w:color w:val="auto"/>
                <w:kern w:val="0"/>
                <w:szCs w:val="21"/>
              </w:rPr>
              <w:t>风险管理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G0116</w:t>
            </w:r>
            <w:r>
              <w:rPr>
                <w:rFonts w:hint="eastAsia" w:ascii="宋体" w:hAnsi="宋体" w:eastAsia="宋体" w:cs="宋体"/>
                <w:color w:val="auto"/>
                <w:kern w:val="0"/>
                <w:szCs w:val="21"/>
              </w:rPr>
              <w:t>风险管理</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风险管理是各经济、社会单位在对其生产和生活中的风险进行识别、估测与评价的基础上，优化组合各种风险管理技术，对风险实施有效控制，妥善处理风险导致的结果，以期以最小的成本达到最大的安全保障的过程。主要研究方向包括：风险传染，汇率风险管理，保险风险管理，操作风险管理，风险源，国际金融风险，股指期货，期货市场，信用风险管理，市场风险管理，风险度量，风险评估，金融风险管理，违约概率，偿付能力，主权风险，预警系统，巨灾风险，集成风险度量，资源与环境风险，风险控制框架，利率风险管理，天气风险管理</w:t>
            </w:r>
          </w:p>
        </w:tc>
      </w:tr>
      <w:tr>
        <w:tblPrEx>
          <w:tblCellMar>
            <w:top w:w="0" w:type="dxa"/>
            <w:left w:w="108" w:type="dxa"/>
            <w:bottom w:w="0" w:type="dxa"/>
            <w:right w:w="108" w:type="dxa"/>
          </w:tblCellMar>
        </w:tblPrEx>
        <w:trPr>
          <w:trHeight w:val="28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G0114</w:t>
            </w:r>
            <w:r>
              <w:rPr>
                <w:rFonts w:hint="eastAsia" w:ascii="宋体" w:hAnsi="宋体" w:eastAsia="宋体" w:cs="宋体"/>
                <w:color w:val="auto"/>
                <w:kern w:val="0"/>
                <w:szCs w:val="21"/>
              </w:rPr>
              <w:t>金融工程</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G0117</w:t>
            </w:r>
            <w:r>
              <w:rPr>
                <w:rFonts w:hint="eastAsia" w:ascii="宋体" w:hAnsi="宋体" w:eastAsia="宋体" w:cs="宋体"/>
                <w:color w:val="auto"/>
                <w:kern w:val="0"/>
                <w:szCs w:val="21"/>
              </w:rPr>
              <w:t>金融工程</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金融工程以经济学、金融学和管理学理论为基础，综合运用数理分析和计算方法研究金融衍生品的开发与定价及风险管理。主要研究方向包括：金融衍生产品，金融保险，计算实验金融，债券市场，股票市场，量化投资，金融资产，金融风险管理，赌博偏好，行为金融学，投资组合选择，动态资产组合，期货套期保值，资金融通，金融衍生品，行为金融理论，金融市场，不完全市场，期权定价，互联网金融，科技金融，私募股权与风险投资，供应链金融，农村金融，金融市场微观结构</w:t>
            </w:r>
          </w:p>
        </w:tc>
      </w:tr>
      <w:tr>
        <w:tblPrEx>
          <w:tblCellMar>
            <w:top w:w="0" w:type="dxa"/>
            <w:left w:w="108" w:type="dxa"/>
            <w:bottom w:w="0" w:type="dxa"/>
            <w:right w:w="108" w:type="dxa"/>
          </w:tblCellMar>
        </w:tblPrEx>
        <w:trPr>
          <w:trHeight w:val="599" w:hRule="atLeast"/>
        </w:trPr>
        <w:tc>
          <w:tcPr>
            <w:tcW w:w="2139" w:type="dxa"/>
            <w:vMerge w:val="restart"/>
            <w:tcBorders>
              <w:top w:val="nil"/>
              <w:left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G0115</w:t>
            </w:r>
            <w:r>
              <w:rPr>
                <w:rFonts w:hint="eastAsia" w:ascii="宋体" w:hAnsi="宋体" w:eastAsia="宋体" w:cs="宋体"/>
                <w:color w:val="auto"/>
                <w:kern w:val="0"/>
                <w:szCs w:val="21"/>
              </w:rPr>
              <w:t>工程管理和项目管理</w:t>
            </w:r>
          </w:p>
        </w:tc>
        <w:tc>
          <w:tcPr>
            <w:tcW w:w="2693" w:type="dxa"/>
            <w:tcBorders>
              <w:top w:val="nil"/>
              <w:left w:val="nil"/>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G0118</w:t>
            </w:r>
            <w:r>
              <w:rPr>
                <w:rFonts w:hint="eastAsia" w:ascii="宋体" w:hAnsi="宋体" w:eastAsia="宋体" w:cs="宋体"/>
                <w:color w:val="auto"/>
                <w:kern w:val="0"/>
                <w:szCs w:val="21"/>
              </w:rPr>
              <w:t>工程管理</w:t>
            </w:r>
          </w:p>
        </w:tc>
        <w:tc>
          <w:tcPr>
            <w:tcW w:w="9094" w:type="dxa"/>
            <w:gridSpan w:val="2"/>
            <w:vMerge w:val="restart"/>
            <w:tcBorders>
              <w:top w:val="nil"/>
              <w:left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项目群管理，大型集群工程项目管理，建筑工程，项目融资，工程供应链，工程可持续建设与管理，工程设施管理，工程管理，进度管理，项目生命周期管理，项目价值，集群项目管理，伙伴管理，项目团队</w:t>
            </w:r>
          </w:p>
        </w:tc>
      </w:tr>
      <w:tr>
        <w:tblPrEx>
          <w:tblCellMar>
            <w:top w:w="0" w:type="dxa"/>
            <w:left w:w="108" w:type="dxa"/>
            <w:bottom w:w="0" w:type="dxa"/>
            <w:right w:w="108" w:type="dxa"/>
          </w:tblCellMar>
        </w:tblPrEx>
        <w:trPr>
          <w:trHeight w:val="349"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p>
        </w:tc>
        <w:tc>
          <w:tcPr>
            <w:tcW w:w="2693" w:type="dxa"/>
            <w:tcBorders>
              <w:top w:val="single" w:color="auto" w:sz="4" w:space="0"/>
              <w:left w:val="nil"/>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G0212项目管理</w:t>
            </w:r>
          </w:p>
        </w:tc>
        <w:tc>
          <w:tcPr>
            <w:tcW w:w="9094"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Cs w:val="21"/>
              </w:rPr>
            </w:pPr>
          </w:p>
        </w:tc>
      </w:tr>
      <w:tr>
        <w:tblPrEx>
          <w:tblCellMar>
            <w:top w:w="0" w:type="dxa"/>
            <w:left w:w="108" w:type="dxa"/>
            <w:bottom w:w="0" w:type="dxa"/>
            <w:right w:w="108" w:type="dxa"/>
          </w:tblCellMar>
        </w:tblPrEx>
        <w:trPr>
          <w:trHeight w:val="52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G0116</w:t>
            </w:r>
            <w:r>
              <w:rPr>
                <w:rFonts w:hint="eastAsia" w:ascii="宋体" w:hAnsi="宋体" w:eastAsia="宋体" w:cs="宋体"/>
                <w:color w:val="auto"/>
                <w:kern w:val="0"/>
                <w:szCs w:val="21"/>
              </w:rPr>
              <w:t>交通运输管理</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G0119</w:t>
            </w:r>
            <w:r>
              <w:rPr>
                <w:rFonts w:hint="eastAsia" w:ascii="宋体" w:hAnsi="宋体" w:eastAsia="宋体" w:cs="宋体"/>
                <w:color w:val="auto"/>
                <w:kern w:val="0"/>
                <w:szCs w:val="21"/>
              </w:rPr>
              <w:t>交通运输管理</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交通运输管理是通过对交通需求进行剖析，研究交通需求的运输模式、行进路径和出发时刻选择等问题，找出各种因素之间的数量关系，并对问题进行建模和求解。主要研究方向包括：道路交通流，城市交通网络，轨道交通运输组织，交通运输，交通流预测，交通安全，网络交通，交通管理复杂性</w:t>
            </w:r>
          </w:p>
        </w:tc>
      </w:tr>
      <w:tr>
        <w:tblPrEx>
          <w:tblCellMar>
            <w:top w:w="0" w:type="dxa"/>
            <w:left w:w="108" w:type="dxa"/>
            <w:bottom w:w="0" w:type="dxa"/>
            <w:right w:w="108" w:type="dxa"/>
          </w:tblCellMar>
        </w:tblPrEx>
        <w:trPr>
          <w:trHeight w:val="780"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G0117</w:t>
            </w:r>
            <w:r>
              <w:rPr>
                <w:rFonts w:hint="eastAsia" w:ascii="宋体" w:hAnsi="宋体" w:eastAsia="宋体" w:cs="宋体"/>
                <w:color w:val="auto"/>
                <w:kern w:val="0"/>
                <w:szCs w:val="21"/>
              </w:rPr>
              <w:t>数字化平台管理理论</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多边市场与平台治理，平台模式与机制设计，平台运营管理，平台生态系统理论，网络交易与服务平台，工业与产业互联网平台，个体交互平台，公共服务平台，平台智能决策方法，平台技术与系统</w:t>
            </w:r>
          </w:p>
        </w:tc>
      </w:tr>
      <w:tr>
        <w:tblPrEx>
          <w:tblCellMar>
            <w:top w:w="0" w:type="dxa"/>
            <w:left w:w="108" w:type="dxa"/>
            <w:bottom w:w="0" w:type="dxa"/>
            <w:right w:w="108" w:type="dxa"/>
          </w:tblCellMar>
        </w:tblPrEx>
        <w:trPr>
          <w:trHeight w:val="780"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G0118</w:t>
            </w:r>
            <w:r>
              <w:rPr>
                <w:rFonts w:hint="eastAsia" w:ascii="宋体" w:hAnsi="宋体" w:eastAsia="宋体" w:cs="宋体"/>
                <w:color w:val="auto"/>
                <w:kern w:val="0"/>
                <w:szCs w:val="21"/>
              </w:rPr>
              <w:t>智慧管理与人工智能</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群体智能管理与决策优化，人机共融系统管理，人机生态演化与治理，人机系统行为管理，人机协同决策优化，社交智能管理，数字孪生决策优化，协同知识管理，智慧管理中的智能算法，智慧系统运作管理</w:t>
            </w:r>
          </w:p>
        </w:tc>
      </w:tr>
      <w:tr>
        <w:tblPrEx>
          <w:tblCellMar>
            <w:top w:w="0" w:type="dxa"/>
            <w:left w:w="108" w:type="dxa"/>
            <w:bottom w:w="0" w:type="dxa"/>
            <w:right w:w="108" w:type="dxa"/>
          </w:tblCellMar>
        </w:tblPrEx>
        <w:trPr>
          <w:trHeight w:val="780"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widowControl/>
              <w:jc w:val="center"/>
              <w:rPr>
                <w:rFonts w:ascii="宋体" w:hAnsi="宋体" w:eastAsia="宋体" w:cs="宋体"/>
                <w:color w:val="auto"/>
                <w:kern w:val="0"/>
                <w:szCs w:val="21"/>
              </w:rPr>
            </w:pPr>
            <w:r>
              <w:rPr>
                <w:rFonts w:ascii="Times New Roman" w:hAnsi="Times New Roman" w:eastAsia="宋体" w:cs="Times New Roman"/>
                <w:color w:val="auto"/>
                <w:kern w:val="0"/>
                <w:szCs w:val="21"/>
              </w:rPr>
              <w:t>G0119</w:t>
            </w:r>
            <w:r>
              <w:rPr>
                <w:rFonts w:hint="eastAsia" w:ascii="宋体" w:hAnsi="宋体" w:eastAsia="宋体" w:cs="宋体"/>
                <w:color w:val="auto"/>
                <w:kern w:val="0"/>
                <w:szCs w:val="21"/>
              </w:rPr>
              <w:t>新技术驱动的管理理论与方法</w:t>
            </w:r>
          </w:p>
        </w:tc>
        <w:tc>
          <w:tcPr>
            <w:tcW w:w="2693" w:type="dxa"/>
            <w:tcBorders>
              <w:top w:val="nil"/>
              <w:left w:val="nil"/>
              <w:bottom w:val="single" w:color="000000" w:sz="8" w:space="0"/>
              <w:right w:val="single" w:color="000000" w:sz="8" w:space="0"/>
            </w:tcBorders>
            <w:shd w:val="clear" w:color="auto" w:fill="auto"/>
            <w:vAlign w:val="center"/>
          </w:tcPr>
          <w:p>
            <w:pPr>
              <w:widowControl/>
              <w:jc w:val="center"/>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要研究方向包括：融合新技术的管理理论与方法，多学科领域技术交叉的管理理论与方法，技术驱动的工程管理理论与方法，技术驱动的社会管理理论与方法，人工智能与管理创新，新信息通讯技术与管理创新，区块链技术与管理创新，先进制造技术与管理科学交叉研究，能源交通技术与管理科学交叉研究，生命科学技术与管理科学交叉研究，极端自然环境中的管理科学问题</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G0201战略管理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ascii="Times New Roman" w:hAnsi="Times New Roman" w:cs="Times New Roman"/>
                <w:color w:val="auto"/>
                <w:szCs w:val="21"/>
              </w:rPr>
              <w:t>G0201战略管理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ascii="Times New Roman" w:hAnsi="Times New Roman" w:cs="Times New Roman"/>
                <w:color w:val="auto"/>
                <w:szCs w:val="21"/>
              </w:rPr>
              <w:t>战略管理是以企业等微观组织为基本分析单元，研究企业如何成长，塑造竞争优势的学科。战略管理是经济学、社会学、心理学以及伦理学等多学科融合交叉的领域，主要研究方向包括：公司层战略、创新战略、组织联盟与网络、战略决策过程与变革、利益相关者战略、竞争战略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0202</w:t>
            </w:r>
            <w:r>
              <w:rPr>
                <w:rFonts w:hint="eastAsia" w:ascii="Times New Roman" w:hAnsi="Times New Roman" w:cs="Times New Roman"/>
                <w:color w:val="auto"/>
                <w:szCs w:val="21"/>
              </w:rPr>
              <w:t>企业理论</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020201</w:t>
            </w:r>
            <w:r>
              <w:rPr>
                <w:rFonts w:hint="eastAsia" w:ascii="Times New Roman" w:hAnsi="Times New Roman" w:cs="Times New Roman"/>
                <w:color w:val="auto"/>
                <w:szCs w:val="21"/>
              </w:rPr>
              <w:t>组织理论</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企业理论是研究企业等微观组织的基本理论问题的基础学科，通过研究组织结构、职能、运转过程及管理主体行为，揭示企业组织规律，构建理论知识体系。主要研究方向包括：企业管理理论、组织变革理论、产业组织理论、产权与制度理论、营商环境、企业社会责任、企业伦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G0203企业技术创新管理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0203</w:t>
            </w:r>
            <w:r>
              <w:rPr>
                <w:rFonts w:hint="eastAsia" w:ascii="Times New Roman" w:hAnsi="Times New Roman" w:cs="Times New Roman"/>
                <w:color w:val="auto"/>
                <w:szCs w:val="21"/>
              </w:rPr>
              <w:t>企业技术管理与创新管理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企业技术创新管理是研究企业技术创新现象和机制的学科，其核心在于采用科学方法，研究企业中的新思想/创意产生、研究、开发、试制、生产制造、商业化全过程的理论原理与基本机制。主要研究方向包括：创新理论、创新战略、创新模式、研发管理、新产品开发、创新生态系统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0204</w:t>
            </w:r>
            <w:r>
              <w:rPr>
                <w:rFonts w:hint="eastAsia" w:ascii="Times New Roman" w:hAnsi="Times New Roman" w:cs="Times New Roman"/>
                <w:color w:val="auto"/>
                <w:szCs w:val="21"/>
              </w:rPr>
              <w:t>人力资源管理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0204</w:t>
            </w:r>
            <w:r>
              <w:rPr>
                <w:rFonts w:hint="eastAsia" w:ascii="Times New Roman" w:hAnsi="Times New Roman" w:cs="Times New Roman"/>
                <w:color w:val="auto"/>
                <w:szCs w:val="21"/>
              </w:rPr>
              <w:t>人力资源管理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人力资源管理是系统研究组织人力资源管理与开发的过程机制和客观规律的学科，其核心在于采取经济学、心理学和社会学等多学科知识，探索和发现企业情景下，人力资源管理对组织绩效的作用机制和运行规律。主要研究方向包括：战略人力资源管理、工作设计、绩效考评、薪酬管理、团队管理、领导力、人力资本、培训与发展、职业生涯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0205</w:t>
            </w:r>
            <w:r>
              <w:rPr>
                <w:rFonts w:hint="eastAsia" w:ascii="Times New Roman" w:hAnsi="Times New Roman" w:cs="Times New Roman"/>
                <w:color w:val="auto"/>
                <w:szCs w:val="21"/>
              </w:rPr>
              <w:t>财务管理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0205</w:t>
            </w:r>
            <w:r>
              <w:rPr>
                <w:rFonts w:hint="eastAsia" w:ascii="Times New Roman" w:hAnsi="Times New Roman" w:cs="Times New Roman"/>
                <w:color w:val="auto"/>
                <w:szCs w:val="21"/>
              </w:rPr>
              <w:t>财务管理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财务管理是以企业为对象，以资本市场为背景，研究企业的融资、投资、营运资本管理，利润分配的基本规律，以及现代公司制度中的财务分析与管理的学科。主要研究方向包括：公司财务政策、资产定价、代理问题、收购兼并、行为金融与行为财务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0206</w:t>
            </w:r>
            <w:r>
              <w:rPr>
                <w:rFonts w:hint="eastAsia" w:ascii="Times New Roman" w:hAnsi="Times New Roman" w:cs="Times New Roman"/>
                <w:color w:val="auto"/>
                <w:szCs w:val="21"/>
              </w:rPr>
              <w:t>会计与审计</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0206</w:t>
            </w:r>
            <w:r>
              <w:rPr>
                <w:rFonts w:hint="eastAsia" w:ascii="Times New Roman" w:hAnsi="Times New Roman" w:cs="Times New Roman"/>
                <w:color w:val="auto"/>
                <w:szCs w:val="21"/>
              </w:rPr>
              <w:t>会计与审计</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会计与审计是研究企业会计信息生产、披露和鉴证等问题的学科，不仅包括对企业经济活动进行反映和监督，也包含对财务信息的真实性、合法性和效益进行检查、评价以及鉴证等。会计与审计研究是经济学、社会学、心理学、信息技术以及环境科学等多学科融合交叉的领域。主要研究方向包括：会计准则、会计信息与资本市场、政府与非盈利组织会计、审计理论与方法、审计市场与审计师、内部控制与风险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G0207市场营销</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G0207市场营销</w:t>
            </w:r>
          </w:p>
          <w:p>
            <w:pPr>
              <w:jc w:val="center"/>
              <w:rPr>
                <w:rFonts w:ascii="Times New Roman" w:hAnsi="Times New Roman" w:cs="Times New Roman"/>
                <w:color w:val="auto"/>
                <w:szCs w:val="21"/>
              </w:rPr>
            </w:pPr>
            <w:r>
              <w:rPr>
                <w:rFonts w:hint="eastAsia" w:ascii="Times New Roman" w:hAnsi="Times New Roman" w:cs="Times New Roman"/>
                <w:color w:val="auto"/>
                <w:szCs w:val="21"/>
              </w:rPr>
              <w:t>（含G</w:t>
            </w:r>
            <w:r>
              <w:rPr>
                <w:rFonts w:ascii="Times New Roman" w:hAnsi="Times New Roman" w:cs="Times New Roman"/>
                <w:color w:val="auto"/>
                <w:szCs w:val="21"/>
              </w:rPr>
              <w:t>020701</w:t>
            </w:r>
            <w:r>
              <w:rPr>
                <w:rFonts w:hint="eastAsia" w:ascii="Times New Roman" w:hAnsi="Times New Roman" w:cs="Times New Roman"/>
                <w:color w:val="auto"/>
                <w:szCs w:val="21"/>
              </w:rPr>
              <w:t>、G</w:t>
            </w:r>
            <w:r>
              <w:rPr>
                <w:rFonts w:ascii="Times New Roman" w:hAnsi="Times New Roman" w:cs="Times New Roman"/>
                <w:color w:val="auto"/>
                <w:szCs w:val="21"/>
              </w:rPr>
              <w:t>020702</w:t>
            </w:r>
            <w:r>
              <w:rPr>
                <w:rFonts w:hint="eastAsia" w:ascii="Times New Roman" w:hAnsi="Times New Roman" w:cs="Times New Roman"/>
                <w:color w:val="auto"/>
                <w:szCs w:val="21"/>
              </w:rPr>
              <w:t>、G</w:t>
            </w:r>
            <w:r>
              <w:rPr>
                <w:rFonts w:ascii="Times New Roman" w:hAnsi="Times New Roman" w:cs="Times New Roman"/>
                <w:color w:val="auto"/>
                <w:szCs w:val="21"/>
              </w:rPr>
              <w:t>020703</w:t>
            </w:r>
            <w:r>
              <w:rPr>
                <w:rFonts w:hint="eastAsia" w:ascii="Times New Roman" w:hAnsi="Times New Roman" w:cs="Times New Roman"/>
                <w:color w:val="auto"/>
                <w:szCs w:val="21"/>
              </w:rPr>
              <w:t>）</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市场营销是以满足消费者需求为核心，研究企业等微观组织如何通过产品、定价、渠道、推广等活动为顾客创造价值，为企业创造利润，为社会创造福利的学科。市场营销是经济学、管理学、传播学、心理学等多学科融合交叉的研究领域。主要研究方向包括：营销战略与策略、消费者心理与行为、产品与品牌管理、服务营销、营销渠道管理、数字化营销、整合营销传播、销售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 xml:space="preserve">0208 </w:t>
            </w:r>
            <w:r>
              <w:rPr>
                <w:rFonts w:hint="eastAsia" w:ascii="Times New Roman" w:hAnsi="Times New Roman" w:cs="Times New Roman"/>
                <w:color w:val="auto"/>
                <w:szCs w:val="21"/>
              </w:rPr>
              <w:t>组织行为</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 xml:space="preserve">020202 </w:t>
            </w:r>
            <w:r>
              <w:rPr>
                <w:rFonts w:hint="eastAsia" w:ascii="Times New Roman" w:hAnsi="Times New Roman" w:cs="Times New Roman"/>
                <w:color w:val="auto"/>
                <w:szCs w:val="21"/>
              </w:rPr>
              <w:t>组织行为</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组织行为是研究企业等微观组织中的个体和群体行为的学科，通过聚焦特质、过程、行为和结果的多层次与跨层次研究，凝练组织内行为管理的思想、原理和实践。主要研究方向包括：个体特质、信任、权力、社会交换、群体合作、冲突、组织文化、社会网络等个体、团队和组织的各类行为变量及其影响结果。</w:t>
            </w:r>
          </w:p>
        </w:tc>
      </w:tr>
      <w:tr>
        <w:tblPrEx>
          <w:tblCellMar>
            <w:top w:w="0" w:type="dxa"/>
            <w:left w:w="108" w:type="dxa"/>
            <w:bottom w:w="0" w:type="dxa"/>
            <w:right w:w="108" w:type="dxa"/>
          </w:tblCellMar>
        </w:tblPrEx>
        <w:trPr>
          <w:trHeight w:val="627" w:hRule="atLeast"/>
        </w:trPr>
        <w:tc>
          <w:tcPr>
            <w:tcW w:w="2139" w:type="dxa"/>
            <w:vMerge w:val="restart"/>
            <w:tcBorders>
              <w:top w:val="nil"/>
              <w:left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G0209 商务智能与数字商务</w:t>
            </w:r>
          </w:p>
        </w:tc>
        <w:tc>
          <w:tcPr>
            <w:tcW w:w="2693" w:type="dxa"/>
            <w:tcBorders>
              <w:top w:val="nil"/>
              <w:left w:val="nil"/>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G020902商务智能</w:t>
            </w:r>
          </w:p>
        </w:tc>
        <w:tc>
          <w:tcPr>
            <w:tcW w:w="9094" w:type="dxa"/>
            <w:gridSpan w:val="2"/>
            <w:vMerge w:val="restart"/>
            <w:tcBorders>
              <w:top w:val="nil"/>
              <w:left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商务智能与数字商务是研究企业等微观组织开发数字化与智能化技术，优化业务系统效率的学科。其核心是研究企业等微观组织如何有效开发与利用以数字化、大数据与人工智能、移动互联为代表的技术手段，创造商业与社会价值的理论原理与知识体系。主要研究方向包括：商务智能系统、大数据商务分析、数字化运营与转型、电子商务与数字商务平台、技术使能的商务模式创新等。</w:t>
            </w:r>
          </w:p>
        </w:tc>
      </w:tr>
      <w:tr>
        <w:tblPrEx>
          <w:tblCellMar>
            <w:top w:w="0" w:type="dxa"/>
            <w:left w:w="108" w:type="dxa"/>
            <w:bottom w:w="0" w:type="dxa"/>
            <w:right w:w="108" w:type="dxa"/>
          </w:tblCellMar>
        </w:tblPrEx>
        <w:trPr>
          <w:trHeight w:val="627"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jc w:val="center"/>
              <w:rPr>
                <w:rFonts w:hint="eastAsia" w:ascii="Times New Roman" w:hAnsi="Times New Roman" w:cs="Times New Roman"/>
                <w:color w:val="auto"/>
                <w:szCs w:val="21"/>
              </w:rPr>
            </w:pPr>
          </w:p>
        </w:tc>
        <w:tc>
          <w:tcPr>
            <w:tcW w:w="2693"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0210</w:t>
            </w:r>
            <w:r>
              <w:rPr>
                <w:rFonts w:hint="eastAsia" w:ascii="Times New Roman" w:hAnsi="Times New Roman" w:cs="Times New Roman"/>
                <w:color w:val="auto"/>
                <w:szCs w:val="21"/>
              </w:rPr>
              <w:t>电子商务</w:t>
            </w:r>
          </w:p>
        </w:tc>
        <w:tc>
          <w:tcPr>
            <w:tcW w:w="9094" w:type="dxa"/>
            <w:gridSpan w:val="2"/>
            <w:vMerge w:val="continue"/>
            <w:tcBorders>
              <w:left w:val="single" w:color="auto" w:sz="4" w:space="0"/>
              <w:bottom w:val="single" w:color="auto" w:sz="4" w:space="0"/>
              <w:right w:val="single" w:color="auto" w:sz="4" w:space="0"/>
            </w:tcBorders>
            <w:shd w:val="clear" w:color="auto" w:fill="auto"/>
            <w:noWrap/>
          </w:tcPr>
          <w:p>
            <w:pPr>
              <w:rPr>
                <w:rFonts w:hint="eastAsia" w:ascii="Times New Roman" w:hAnsi="Times New Roman" w:cs="Times New Roman"/>
                <w:color w:val="auto"/>
                <w:szCs w:val="21"/>
              </w:rPr>
            </w:pP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0210</w:t>
            </w:r>
            <w:bookmarkStart w:id="0" w:name="_GoBack"/>
            <w:bookmarkEnd w:id="0"/>
            <w:r>
              <w:rPr>
                <w:rFonts w:hint="eastAsia" w:ascii="Times New Roman" w:hAnsi="Times New Roman" w:cs="Times New Roman"/>
                <w:color w:val="auto"/>
                <w:szCs w:val="21"/>
              </w:rPr>
              <w:t>公司金融</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公司金融是研究资本市场（特别是以股票、债券、投资基金等有价证券发行和交易为主的证券市场等）、金融工具收益和风险、资产定价、金融中介、消费金融和金融科技等问题的学科，是揭示企业等微观组织与金融市场之间的互动关系，综合运用金融估价理论与技术进行风险管理和价值创造的基本理论原理与逻辑知识体系。主要研究方向包括：投资组合、资产定价、资本市场、金融中介、金融机构、行为金融、消费金融等。</w:t>
            </w:r>
          </w:p>
        </w:tc>
      </w:tr>
      <w:tr>
        <w:tblPrEx>
          <w:tblCellMar>
            <w:top w:w="0" w:type="dxa"/>
            <w:left w:w="108" w:type="dxa"/>
            <w:bottom w:w="0" w:type="dxa"/>
            <w:right w:w="108" w:type="dxa"/>
          </w:tblCellMar>
        </w:tblPrEx>
        <w:trPr>
          <w:trHeight w:val="650" w:hRule="atLeast"/>
        </w:trPr>
        <w:tc>
          <w:tcPr>
            <w:tcW w:w="2139" w:type="dxa"/>
            <w:vMerge w:val="restart"/>
            <w:tcBorders>
              <w:top w:val="nil"/>
              <w:left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0211</w:t>
            </w:r>
            <w:r>
              <w:rPr>
                <w:rFonts w:hint="eastAsia" w:ascii="Times New Roman" w:hAnsi="Times New Roman" w:cs="Times New Roman"/>
                <w:color w:val="auto"/>
                <w:szCs w:val="21"/>
              </w:rPr>
              <w:t>运营管理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0211</w:t>
            </w:r>
            <w:r>
              <w:rPr>
                <w:rFonts w:hint="eastAsia" w:ascii="Times New Roman" w:hAnsi="Times New Roman" w:cs="Times New Roman"/>
                <w:color w:val="auto"/>
                <w:szCs w:val="21"/>
              </w:rPr>
              <w:t>运营管理（含G</w:t>
            </w:r>
            <w:r>
              <w:rPr>
                <w:rFonts w:ascii="Times New Roman" w:hAnsi="Times New Roman" w:cs="Times New Roman"/>
                <w:color w:val="auto"/>
                <w:szCs w:val="21"/>
              </w:rPr>
              <w:t>021101</w:t>
            </w:r>
            <w:r>
              <w:rPr>
                <w:rFonts w:hint="eastAsia" w:ascii="Times New Roman" w:hAnsi="Times New Roman" w:cs="Times New Roman"/>
                <w:color w:val="auto"/>
                <w:szCs w:val="21"/>
              </w:rPr>
              <w:t>）</w:t>
            </w:r>
          </w:p>
        </w:tc>
        <w:tc>
          <w:tcPr>
            <w:tcW w:w="9094" w:type="dxa"/>
            <w:gridSpan w:val="2"/>
            <w:vMerge w:val="restart"/>
            <w:tcBorders>
              <w:top w:val="nil"/>
              <w:left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企业运营管理是对企业等微观组织运营过程的计划、组织、实施和控制，其核心是采用科学方法，设计、评价和优化产品生产和服务创造系统。主要研究方向包括：运营战略、生产管理、服务模式创新、企业物流管理、供应链管理、制造及服务资源配置与优化等。</w:t>
            </w:r>
          </w:p>
        </w:tc>
      </w:tr>
      <w:tr>
        <w:tblPrEx>
          <w:tblCellMar>
            <w:top w:w="0" w:type="dxa"/>
            <w:left w:w="108" w:type="dxa"/>
            <w:bottom w:w="0" w:type="dxa"/>
            <w:right w:w="108" w:type="dxa"/>
          </w:tblCellMar>
        </w:tblPrEx>
        <w:trPr>
          <w:trHeight w:val="389" w:hRule="atLeast"/>
        </w:trPr>
        <w:tc>
          <w:tcPr>
            <w:tcW w:w="2139" w:type="dxa"/>
            <w:vMerge w:val="continue"/>
            <w:tcBorders>
              <w:left w:val="single" w:color="auto" w:sz="4" w:space="0"/>
              <w:bottom w:val="single" w:color="auto" w:sz="4" w:space="0"/>
              <w:right w:val="single" w:color="000000" w:sz="8" w:space="0"/>
            </w:tcBorders>
            <w:shd w:val="clear" w:color="auto" w:fill="auto"/>
            <w:vAlign w:val="center"/>
          </w:tcPr>
          <w:p>
            <w:pPr>
              <w:jc w:val="center"/>
              <w:rPr>
                <w:rFonts w:hint="eastAsia" w:ascii="Times New Roman" w:hAnsi="Times New Roman" w:cs="Times New Roman"/>
                <w:color w:val="auto"/>
                <w:szCs w:val="21"/>
              </w:rPr>
            </w:pPr>
          </w:p>
        </w:tc>
        <w:tc>
          <w:tcPr>
            <w:tcW w:w="2693" w:type="dxa"/>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Times New Roman" w:hAnsi="Times New Roman" w:cs="Times New Roman"/>
                <w:color w:val="auto"/>
                <w:szCs w:val="21"/>
              </w:rPr>
            </w:pPr>
            <w:r>
              <w:rPr>
                <w:rFonts w:hint="eastAsia" w:ascii="Times New Roman" w:hAnsi="Times New Roman" w:cs="Times New Roman"/>
                <w:color w:val="auto"/>
                <w:szCs w:val="21"/>
              </w:rPr>
              <w:t>G020801生产管理</w:t>
            </w:r>
          </w:p>
        </w:tc>
        <w:tc>
          <w:tcPr>
            <w:tcW w:w="9094" w:type="dxa"/>
            <w:gridSpan w:val="2"/>
            <w:vMerge w:val="continue"/>
            <w:tcBorders>
              <w:left w:val="single" w:color="auto" w:sz="4" w:space="0"/>
              <w:bottom w:val="single" w:color="auto" w:sz="4" w:space="0"/>
              <w:right w:val="single" w:color="auto" w:sz="4" w:space="0"/>
            </w:tcBorders>
            <w:shd w:val="clear" w:color="auto" w:fill="auto"/>
            <w:noWrap/>
          </w:tcPr>
          <w:p>
            <w:pPr>
              <w:rPr>
                <w:rFonts w:hint="eastAsia" w:ascii="Times New Roman" w:hAnsi="Times New Roman" w:cs="Times New Roman"/>
                <w:color w:val="auto"/>
                <w:szCs w:val="21"/>
              </w:rPr>
            </w:pP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0212</w:t>
            </w:r>
            <w:r>
              <w:rPr>
                <w:rFonts w:hint="eastAsia" w:ascii="Times New Roman" w:hAnsi="Times New Roman" w:cs="Times New Roman"/>
                <w:color w:val="auto"/>
                <w:szCs w:val="21"/>
              </w:rPr>
              <w:t>公司治理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公司治理是以公司制度安排为研究对象，探讨公司发展的制度框架和运行机制、保证公司健康有序成长的应用性学科。公司治理重点探讨公司及其各利益相关者之间的权、责、利关系，保证公司决策的科学化，实现公司价值最大化，形成维护公司各方面利益、促进承担社会责任的制度安排的一般规律和方法。公司治理的主要研究方向包括：治理理论、股东与股权结构、董事会与监事会、高管团队治理、利益相关者与社会责任、企业外部治理、国有企业改革与治理、跨国治理与集团治理、家族企业治理、金融机构治理、行为公司治理、网络与平台治理、绿色治理与企业应急治理、非营利组织治理、公司治理评价。</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0213</w:t>
            </w:r>
            <w:r>
              <w:rPr>
                <w:rFonts w:hint="eastAsia" w:ascii="Times New Roman" w:hAnsi="Times New Roman" w:cs="Times New Roman"/>
                <w:color w:val="auto"/>
                <w:szCs w:val="21"/>
              </w:rPr>
              <w:t>创业管理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0213</w:t>
            </w:r>
            <w:r>
              <w:rPr>
                <w:rFonts w:hint="eastAsia" w:ascii="Times New Roman" w:hAnsi="Times New Roman" w:cs="Times New Roman"/>
                <w:color w:val="auto"/>
                <w:szCs w:val="21"/>
              </w:rPr>
              <w:t>创业管理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创业管理是基于环境动态性、不确定性、复杂性与异质性等基本假设，围绕创业机会和新经济活动，研究不同层次不同领域新创企业开创与发展的理论原理与基本机理的学科。主要研究方向包括：新组织生成与成长、创业认知、决策与思维、创业行为与过程、公司创业、创业资源、商业模式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0214</w:t>
            </w:r>
            <w:r>
              <w:rPr>
                <w:rFonts w:hint="eastAsia" w:ascii="Times New Roman" w:hAnsi="Times New Roman" w:cs="Times New Roman"/>
                <w:color w:val="auto"/>
                <w:szCs w:val="21"/>
              </w:rPr>
              <w:t>国际商务管理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0214</w:t>
            </w:r>
            <w:r>
              <w:rPr>
                <w:rFonts w:hint="eastAsia" w:ascii="Times New Roman" w:hAnsi="Times New Roman" w:cs="Times New Roman"/>
                <w:color w:val="auto"/>
                <w:szCs w:val="21"/>
              </w:rPr>
              <w:t>国际商务与跨文化管理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国际商务管理是以融合交叉多学科理论与研究发现为基础，在国际化背景下，研究企业内外部环境、探索企业把握全球发展机遇、适应全球经营需求而实施战略选择、组织架构设计、全球资源配置、以及企业管理的基本规律，关注国际经营环境、企业国际化战略、全球管理模式、国际管理行为等理论原理的学科。主要研究方向包括：企业国际化过程理论、企业国际化战略理论、全球价值链理论、国际创新理论、全球公司治理理论、企业国际化微观基础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G</w:t>
            </w:r>
            <w:r>
              <w:rPr>
                <w:rFonts w:ascii="Times New Roman" w:hAnsi="Times New Roman" w:cs="Times New Roman"/>
                <w:color w:val="auto"/>
                <w:szCs w:val="21"/>
              </w:rPr>
              <w:t>0215</w:t>
            </w:r>
            <w:r>
              <w:rPr>
                <w:rFonts w:hint="eastAsia" w:ascii="Times New Roman" w:hAnsi="Times New Roman" w:cs="Times New Roman"/>
                <w:color w:val="auto"/>
                <w:szCs w:val="21"/>
              </w:rPr>
              <w:t>旅游管理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ascii="Times New Roman" w:hAnsi="Times New Roman" w:cs="Times New Roman"/>
                <w:color w:val="auto"/>
                <w:szCs w:val="21"/>
              </w:rPr>
            </w:pPr>
            <w:r>
              <w:rPr>
                <w:rFonts w:hint="eastAsia" w:ascii="Times New Roman" w:hAnsi="Times New Roman" w:cs="Times New Roman"/>
                <w:color w:val="auto"/>
                <w:szCs w:val="21"/>
              </w:rPr>
              <w:t>旅游管理是研究旅游活动过程中的利益相关者（如目的地政府、旅游企业、公共服务机构、行业组织等主体）及其相互影响机制，揭示旅游企业满足旅游者需求过程中的供给、消费、服务和体验等方面的理论原理与基本机理的交叉学科。主要研究方向包括：旅游大数据分析与管理、酒店管理、旅游企业战略、旅游业可持续发展与生态旅游、旅游产品设计与开发、旅游服务营销与管理、旅游业人力资源开发、旅游趋势预测与规划、旅游新业态与商业模式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G0301</w:t>
            </w:r>
            <w:r>
              <w:rPr>
                <w:rFonts w:hint="eastAsia" w:cs="Times New Roman" w:asciiTheme="majorEastAsia" w:hAnsiTheme="majorEastAsia" w:eastAsiaTheme="majorEastAsia"/>
                <w:color w:val="auto"/>
                <w:szCs w:val="21"/>
              </w:rPr>
              <w:t>计量经济与经济统计</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新增代码，由原</w:t>
            </w:r>
            <w:r>
              <w:rPr>
                <w:rFonts w:ascii="Times New Roman" w:hAnsi="Times New Roman" w:cs="Times New Roman" w:eastAsiaTheme="majorEastAsia"/>
                <w:color w:val="auto"/>
                <w:szCs w:val="21"/>
              </w:rPr>
              <w:t>G0303</w:t>
            </w:r>
            <w:r>
              <w:rPr>
                <w:rFonts w:hint="eastAsia" w:cs="Times New Roman" w:asciiTheme="majorEastAsia" w:hAnsiTheme="majorEastAsia" w:eastAsiaTheme="majorEastAsia"/>
                <w:color w:val="auto"/>
                <w:szCs w:val="21"/>
              </w:rPr>
              <w:t>数理统计与计算经济拆分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计量经济与经济统计是以经济学和统计学为基础，以社会经济数据为主要研究对象，以识别社会经济发展规律和因果关系为主要目的一门交叉学科，为实证分析提供科学工具。主要研究方向包括：估计方法、统计检验、机器学习与大数据分析、金融数据分析、时间序列分析、面板数据分析、政策评估、风险管理、贝叶斯分析、复杂数据建模、国民经济核算与宏观经济测度、国民经济结构与产业关联分析、价格统计和价格分析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G0302</w:t>
            </w:r>
            <w:r>
              <w:rPr>
                <w:rFonts w:cs="Times New Roman" w:asciiTheme="majorEastAsia" w:hAnsiTheme="majorEastAsia" w:eastAsiaTheme="majorEastAsia"/>
                <w:color w:val="auto"/>
                <w:szCs w:val="21"/>
              </w:rPr>
              <w:t>行为经济与实验经济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G0302</w:t>
            </w:r>
            <w:r>
              <w:rPr>
                <w:rFonts w:hint="eastAsia" w:cs="Times New Roman" w:asciiTheme="majorEastAsia" w:hAnsiTheme="majorEastAsia" w:eastAsiaTheme="majorEastAsia"/>
                <w:color w:val="auto"/>
                <w:szCs w:val="21"/>
              </w:rPr>
              <w:t>行为经济和实验经济</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行为经济从探究理性人假设是否完全符合现实出发，把心理学、认知科学和理性人分析框架相结合，研究人的心理和认知因素以及非自利因素如何影响个体行为和个体决策以及这些因素对市场均衡的影响；实验经济学是在可控设计下产生经济决策数据进而研究经济学问题的一个经济学分支学科。主要研究方向包括：个体决策理论、期望及非期望效用函数理论、有限理性、前景理论、助推理论、动态不一致、公平与社会偏好、信念和决策、市场及宏观实验、博弈实验、个体决策实验、实地实验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G0303</w:t>
            </w:r>
            <w:r>
              <w:rPr>
                <w:rFonts w:cs="Times New Roman" w:asciiTheme="majorEastAsia" w:hAnsiTheme="majorEastAsia" w:eastAsiaTheme="majorEastAsia"/>
                <w:color w:val="auto"/>
                <w:szCs w:val="21"/>
              </w:rPr>
              <w:t>数理经济与计算经济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新增代码，由原</w:t>
            </w:r>
            <w:r>
              <w:rPr>
                <w:rFonts w:ascii="Times New Roman" w:hAnsi="Times New Roman" w:cs="Times New Roman" w:eastAsiaTheme="majorEastAsia"/>
                <w:color w:val="auto"/>
                <w:szCs w:val="21"/>
              </w:rPr>
              <w:t>G0303</w:t>
            </w:r>
            <w:r>
              <w:rPr>
                <w:rFonts w:hint="eastAsia" w:cs="Times New Roman" w:asciiTheme="majorEastAsia" w:hAnsiTheme="majorEastAsia" w:eastAsiaTheme="majorEastAsia"/>
                <w:color w:val="auto"/>
                <w:szCs w:val="21"/>
              </w:rPr>
              <w:t>数理统计与计算经济拆分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数理经济与计算经济是综合使用经济学分析工具以及数学、信息科学和数据科学等技术手段的一门交叉学科，为经济学理论分析、数值模拟、仿真模拟分析提供科学工具。主要研究方向包括：经济优化理论与方法、一般均衡分析、测度与随机理论、复杂系统与混沌理论、数理金融、数理分析一般方法、数值计算方法、数值模拟与估计、多主体建模与仿真、计算机建模一般方法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G0304</w:t>
            </w:r>
            <w:r>
              <w:rPr>
                <w:rFonts w:cs="Times New Roman" w:asciiTheme="majorEastAsia" w:hAnsiTheme="majorEastAsia" w:eastAsiaTheme="majorEastAsia"/>
                <w:color w:val="auto"/>
                <w:szCs w:val="21"/>
              </w:rPr>
              <w:t>微观经济学</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0301</w:t>
            </w:r>
            <w:r>
              <w:rPr>
                <w:rFonts w:hint="eastAsia" w:cs="Times New Roman" w:asciiTheme="majorEastAsia" w:hAnsiTheme="majorEastAsia" w:eastAsiaTheme="majorEastAsia"/>
                <w:color w:val="auto"/>
                <w:szCs w:val="21"/>
              </w:rPr>
              <w:t>博弈论与信息经济</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微观经济研究微观决策主体（如家庭、个人和企业）在市场中的决策和相互之间的互动、市场机制的效率以及市场失灵和弥补市场失灵的公共政策设计问题，是经济科学的重要理论基础。主要研究方向包括：一般均衡理论、市场理论、福利经济学、非合作博弈论、合作博弈、竞合博弈、演化博弈理论、不完全信息、社会选择理论、机制设计理论、拍卖与竞争理论、匹配理论、网络博弈与算法博弈、协商理论与方法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G0305</w:t>
            </w:r>
            <w:r>
              <w:rPr>
                <w:rFonts w:cs="Times New Roman" w:asciiTheme="majorEastAsia" w:hAnsiTheme="majorEastAsia" w:eastAsiaTheme="majorEastAsia"/>
                <w:color w:val="auto"/>
                <w:szCs w:val="21"/>
              </w:rPr>
              <w:t>宏观经济管理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新增代码，由</w:t>
            </w: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0304</w:t>
            </w:r>
            <w:r>
              <w:rPr>
                <w:rFonts w:hint="eastAsia" w:ascii="Times New Roman" w:hAnsi="Times New Roman" w:cs="Times New Roman" w:eastAsiaTheme="majorEastAsia"/>
                <w:color w:val="auto"/>
                <w:szCs w:val="21"/>
              </w:rPr>
              <w:t>经济发展与贸易（含G</w:t>
            </w:r>
            <w:r>
              <w:rPr>
                <w:rFonts w:ascii="Times New Roman" w:hAnsi="Times New Roman" w:cs="Times New Roman" w:eastAsiaTheme="majorEastAsia"/>
                <w:color w:val="auto"/>
                <w:szCs w:val="21"/>
              </w:rPr>
              <w:t>030401</w:t>
            </w:r>
            <w:r>
              <w:rPr>
                <w:rFonts w:hint="eastAsia" w:cs="Times New Roman" w:asciiTheme="majorEastAsia" w:hAnsiTheme="majorEastAsia" w:eastAsiaTheme="majorEastAsia"/>
                <w:color w:val="auto"/>
                <w:szCs w:val="21"/>
              </w:rPr>
              <w:t>经济增长与发展）和</w:t>
            </w:r>
            <w:r>
              <w:rPr>
                <w:rFonts w:ascii="Times New Roman" w:hAnsi="Times New Roman" w:cs="Times New Roman" w:eastAsiaTheme="majorEastAsia"/>
                <w:color w:val="auto"/>
                <w:szCs w:val="21"/>
              </w:rPr>
              <w:t>G0305</w:t>
            </w:r>
            <w:r>
              <w:rPr>
                <w:rFonts w:hint="eastAsia" w:cs="Times New Roman" w:asciiTheme="majorEastAsia" w:hAnsiTheme="majorEastAsia" w:eastAsiaTheme="majorEastAsia"/>
                <w:color w:val="auto"/>
                <w:szCs w:val="21"/>
              </w:rPr>
              <w:t>货币政策与财政政策拆分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宏观经济管理是分析总体经济运行规律的一个经济学领域，它以国民收入总量、总体投资和消费、货币与财政政策、经济周期和经济增长、收入与财富分配等总量与分布目标作为研究对象，是经济科学重要的理论基础。主要研究方向包括：经济周期与经济危机、经济增长、宏观定量模型、微观主体动态决策与宏观经济、货币理论与政策、宏观财政政策、通货膨胀、宏观模型预测、外汇储备与货币体系、开放宏观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G0306</w:t>
            </w:r>
            <w:r>
              <w:rPr>
                <w:rFonts w:cs="Times New Roman" w:asciiTheme="majorEastAsia" w:hAnsiTheme="majorEastAsia" w:eastAsiaTheme="majorEastAsia"/>
                <w:color w:val="auto"/>
                <w:szCs w:val="21"/>
              </w:rPr>
              <w:t>国际经济与贸易</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0304</w:t>
            </w:r>
            <w:r>
              <w:rPr>
                <w:rFonts w:hint="eastAsia" w:ascii="Times New Roman" w:hAnsi="Times New Roman" w:cs="Times New Roman" w:eastAsiaTheme="majorEastAsia"/>
                <w:color w:val="auto"/>
                <w:szCs w:val="21"/>
              </w:rPr>
              <w:t>经济发展与贸易（含G</w:t>
            </w:r>
            <w:r>
              <w:rPr>
                <w:rFonts w:ascii="Times New Roman" w:hAnsi="Times New Roman" w:cs="Times New Roman" w:eastAsiaTheme="majorEastAsia"/>
                <w:color w:val="auto"/>
                <w:szCs w:val="21"/>
              </w:rPr>
              <w:t>030402</w:t>
            </w:r>
            <w:r>
              <w:rPr>
                <w:rFonts w:hint="eastAsia" w:cs="Times New Roman" w:asciiTheme="majorEastAsia" w:hAnsiTheme="majorEastAsia" w:eastAsiaTheme="majorEastAsia"/>
                <w:color w:val="auto"/>
                <w:szCs w:val="21"/>
              </w:rPr>
              <w:t>贸易经济）拆分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国际经济与贸易主要从国家产业之间的比较优势、产业内部规模经济、企业异质性等角度解释贸易发生的机制，进而评估或者预测贸易自由化以及贸易政策工具的影响。主要研究方向包括：国际贸易理论、跨国生产与全球价值链、经济地理与要素流动、贸易与发展、贸易政策与政治经济学、国际贸易组织与贸易协定、国际贸易与国际收支核算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G0307</w:t>
            </w:r>
            <w:r>
              <w:rPr>
                <w:rFonts w:cs="Times New Roman" w:asciiTheme="majorEastAsia" w:hAnsiTheme="majorEastAsia" w:eastAsiaTheme="majorEastAsia"/>
                <w:color w:val="auto"/>
                <w:szCs w:val="21"/>
              </w:rPr>
              <w:t>金融经济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0306</w:t>
            </w:r>
            <w:r>
              <w:rPr>
                <w:rFonts w:hint="eastAsia" w:cs="Times New Roman" w:asciiTheme="majorEastAsia" w:hAnsiTheme="majorEastAsia" w:eastAsiaTheme="majorEastAsia"/>
                <w:color w:val="auto"/>
                <w:szCs w:val="21"/>
              </w:rPr>
              <w:t>金融管理（含</w:t>
            </w:r>
            <w:r>
              <w:rPr>
                <w:rFonts w:ascii="Times New Roman" w:hAnsi="Times New Roman" w:cs="Times New Roman" w:eastAsiaTheme="majorEastAsia"/>
                <w:color w:val="auto"/>
                <w:szCs w:val="21"/>
              </w:rPr>
              <w:t>G030601</w:t>
            </w:r>
            <w:r>
              <w:rPr>
                <w:rFonts w:hint="eastAsia" w:cs="Times New Roman" w:asciiTheme="majorEastAsia" w:hAnsiTheme="majorEastAsia" w:eastAsiaTheme="majorEastAsia"/>
                <w:color w:val="auto"/>
                <w:szCs w:val="21"/>
              </w:rPr>
              <w:t>银行体系管理，</w:t>
            </w:r>
            <w:r>
              <w:rPr>
                <w:rFonts w:hint="eastAsia" w:ascii="Times New Roman" w:hAnsi="Times New Roman" w:cs="Times New Roman" w:eastAsiaTheme="majorEastAsia"/>
                <w:color w:val="auto"/>
                <w:szCs w:val="21"/>
              </w:rPr>
              <w:t>G030602</w:t>
            </w:r>
            <w:r>
              <w:rPr>
                <w:rFonts w:hint="eastAsia" w:cs="Times New Roman" w:asciiTheme="majorEastAsia" w:hAnsiTheme="majorEastAsia" w:eastAsiaTheme="majorEastAsia"/>
                <w:color w:val="auto"/>
                <w:szCs w:val="21"/>
              </w:rPr>
              <w:t>金融市场管理，</w:t>
            </w:r>
            <w:r>
              <w:rPr>
                <w:rFonts w:hint="eastAsia" w:ascii="Times New Roman" w:hAnsi="Times New Roman" w:cs="Times New Roman" w:eastAsiaTheme="majorEastAsia"/>
                <w:color w:val="auto"/>
                <w:szCs w:val="21"/>
              </w:rPr>
              <w:t>G030603</w:t>
            </w:r>
            <w:r>
              <w:rPr>
                <w:rFonts w:hint="eastAsia" w:cs="Times New Roman" w:asciiTheme="majorEastAsia" w:hAnsiTheme="majorEastAsia" w:eastAsiaTheme="majorEastAsia"/>
                <w:color w:val="auto"/>
                <w:szCs w:val="21"/>
              </w:rPr>
              <w:t xml:space="preserve"> 金融创新管理）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金融经济运用经济学研究范式系统性地分析金融问题，即个人、家庭、企业、政府等通过金融体系跨期配置资源以求在不确定条件下最大化效用和福利，是经济学、数学、计算机、心理学、社会学等多学科交叉的应用型研究领域。主要研究方向包括：资产定价、公司金融、金融市场、金融中介、国际金融、行为金融、家庭金融、金融风险、金融监管与政策、新兴金融领域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G0308</w:t>
            </w:r>
            <w:r>
              <w:rPr>
                <w:rFonts w:cs="Times New Roman" w:asciiTheme="majorEastAsia" w:hAnsiTheme="majorEastAsia" w:eastAsiaTheme="majorEastAsia"/>
                <w:color w:val="auto"/>
                <w:szCs w:val="21"/>
              </w:rPr>
              <w:t>财政与公共经济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0305</w:t>
            </w:r>
            <w:r>
              <w:rPr>
                <w:rFonts w:hint="eastAsia" w:cs="Times New Roman" w:asciiTheme="majorEastAsia" w:hAnsiTheme="majorEastAsia" w:eastAsiaTheme="majorEastAsia"/>
                <w:color w:val="auto"/>
                <w:szCs w:val="21"/>
              </w:rPr>
              <w:t>货币政策与财税政策拆分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财政与公共经济是从规范和实证的角度研究政府对经济的影响，包括解释政府行为、政府行为对企业和个人行为的影响、以及这些行为变化所带来的社会福利的影响。主要研究方向包括：财政基础理论、政府间财政关系、税收制度、财政管理、社会保障、税收管理、财政分配、财政支出、公共债务、公共选择、行为与财政实验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G0309</w:t>
            </w:r>
            <w:r>
              <w:rPr>
                <w:rFonts w:cs="Times New Roman" w:asciiTheme="majorEastAsia" w:hAnsiTheme="majorEastAsia" w:eastAsiaTheme="majorEastAsia"/>
                <w:color w:val="auto"/>
                <w:szCs w:val="21"/>
              </w:rPr>
              <w:t>产业经济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0309</w:t>
            </w:r>
            <w:r>
              <w:rPr>
                <w:rFonts w:hint="eastAsia" w:cs="Times New Roman" w:asciiTheme="majorEastAsia" w:hAnsiTheme="majorEastAsia" w:eastAsiaTheme="majorEastAsia"/>
                <w:color w:val="auto"/>
                <w:szCs w:val="21"/>
              </w:rPr>
              <w:t>区域经济与产业经济（含</w:t>
            </w:r>
            <w:r>
              <w:rPr>
                <w:rFonts w:ascii="Times New Roman" w:hAnsi="Times New Roman" w:cs="Times New Roman" w:eastAsiaTheme="majorEastAsia"/>
                <w:color w:val="auto"/>
                <w:szCs w:val="21"/>
              </w:rPr>
              <w:t>G030902</w:t>
            </w:r>
            <w:r>
              <w:rPr>
                <w:rFonts w:hint="eastAsia" w:cs="Times New Roman" w:asciiTheme="majorEastAsia" w:hAnsiTheme="majorEastAsia" w:eastAsiaTheme="majorEastAsia"/>
                <w:color w:val="auto"/>
                <w:szCs w:val="21"/>
              </w:rPr>
              <w:t>产业经济管理）拆分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产业组织经济主要研究不完全竞争的市场中市场主体（如企业、消费者等）的组织、研发、生产和销售决策及竞争行为，在深入理解市场主体行为基础上，讨论政府政策设计以期实现有效的资源配置。主要研究方向包括：企业理论、市场组织与结构、规制与竞争政策、制造业与服务业、知识产权与数据、行业管理与政策、产业集聚，关联与产业政策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G0310</w:t>
            </w:r>
            <w:r>
              <w:rPr>
                <w:rFonts w:cs="Times New Roman" w:asciiTheme="majorEastAsia" w:hAnsiTheme="majorEastAsia" w:eastAsiaTheme="majorEastAsia"/>
                <w:color w:val="auto"/>
                <w:szCs w:val="21"/>
              </w:rPr>
              <w:t>经济发展与经济制度</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0304</w:t>
            </w:r>
            <w:r>
              <w:rPr>
                <w:rFonts w:hint="eastAsia" w:ascii="Times New Roman" w:hAnsi="Times New Roman" w:cs="Times New Roman" w:eastAsiaTheme="majorEastAsia"/>
                <w:color w:val="auto"/>
                <w:szCs w:val="21"/>
              </w:rPr>
              <w:t>经济发展与贸易（含G</w:t>
            </w:r>
            <w:r>
              <w:rPr>
                <w:rFonts w:ascii="Times New Roman" w:hAnsi="Times New Roman" w:cs="Times New Roman" w:eastAsiaTheme="majorEastAsia"/>
                <w:color w:val="auto"/>
                <w:szCs w:val="21"/>
              </w:rPr>
              <w:t>0304</w:t>
            </w:r>
            <w:r>
              <w:rPr>
                <w:rFonts w:hint="eastAsia" w:ascii="Times New Roman" w:hAnsi="Times New Roman" w:cs="Times New Roman" w:eastAsiaTheme="majorEastAsia"/>
                <w:color w:val="auto"/>
                <w:szCs w:val="21"/>
              </w:rPr>
              <w:t>01</w:t>
            </w:r>
            <w:r>
              <w:rPr>
                <w:rFonts w:hint="eastAsia" w:cs="Times New Roman" w:asciiTheme="majorEastAsia" w:hAnsiTheme="majorEastAsia" w:eastAsiaTheme="majorEastAsia"/>
                <w:color w:val="auto"/>
                <w:szCs w:val="21"/>
              </w:rPr>
              <w:t>经济增长与发展）拆分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经济发展关注的重点是发展中国家经济发展以及居民生活改善问题，探讨如何在经济增长的基础上实现经济、社会、环境的可持续发展，近年来，其研究目标从发展和减贫扩大到减轻社会不平等、促进共同繁荣。经济制度的研究内容包括法与经济学、经济转轨、经济制度比较、经济体制改革等，是经济科学与社会学、法学的交叉学科。主要研究方向包括：反贫困制度与政策、发展途径效果评估、收入分配不平等、气候变化与反贫困、随机试验和发展政策、数字革命与经济发展、全球化和逆全球化与经济发展、政治激励与经济发展、经济制度、经济体制改革、法与经济、量化经济史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Times New Roman" w:hAnsi="Times New Roman" w:cs="Times New Roman" w:eastAsiaTheme="majorEastAsia"/>
                <w:color w:val="auto"/>
                <w:szCs w:val="21"/>
              </w:rPr>
            </w:pPr>
            <w:r>
              <w:rPr>
                <w:rFonts w:ascii="Times New Roman" w:hAnsi="Times New Roman" w:cs="Times New Roman" w:eastAsiaTheme="majorEastAsia"/>
                <w:color w:val="auto"/>
                <w:szCs w:val="21"/>
              </w:rPr>
              <w:t>G0311农林经济管理</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0308</w:t>
            </w:r>
            <w:r>
              <w:rPr>
                <w:rFonts w:hint="eastAsia" w:cs="Times New Roman" w:asciiTheme="majorEastAsia" w:hAnsiTheme="majorEastAsia" w:eastAsiaTheme="majorEastAsia"/>
                <w:color w:val="auto"/>
                <w:szCs w:val="21"/>
              </w:rPr>
              <w:t>农林经济管理（含</w:t>
            </w:r>
            <w:r>
              <w:rPr>
                <w:rFonts w:ascii="Times New Roman" w:hAnsi="Times New Roman" w:cs="Times New Roman" w:eastAsiaTheme="majorEastAsia"/>
                <w:color w:val="auto"/>
                <w:szCs w:val="21"/>
              </w:rPr>
              <w:t>G030801</w:t>
            </w:r>
            <w:r>
              <w:rPr>
                <w:rFonts w:hint="eastAsia" w:cs="Times New Roman" w:asciiTheme="majorEastAsia" w:hAnsiTheme="majorEastAsia" w:eastAsiaTheme="majorEastAsia"/>
                <w:color w:val="auto"/>
                <w:szCs w:val="21"/>
              </w:rPr>
              <w:t>林业经济管理，</w:t>
            </w:r>
            <w:r>
              <w:rPr>
                <w:rFonts w:hint="eastAsia" w:ascii="Times New Roman" w:hAnsi="Times New Roman" w:cs="Times New Roman" w:eastAsiaTheme="majorEastAsia"/>
                <w:color w:val="auto"/>
                <w:szCs w:val="21"/>
              </w:rPr>
              <w:t>G030802</w:t>
            </w:r>
            <w:r>
              <w:rPr>
                <w:rFonts w:hint="eastAsia" w:cs="Times New Roman" w:asciiTheme="majorEastAsia" w:hAnsiTheme="majorEastAsia" w:eastAsiaTheme="majorEastAsia"/>
                <w:color w:val="auto"/>
                <w:szCs w:val="21"/>
              </w:rPr>
              <w:t>农业经济管理，</w:t>
            </w:r>
            <w:r>
              <w:rPr>
                <w:rFonts w:hint="eastAsia" w:ascii="Times New Roman" w:hAnsi="Times New Roman" w:cs="Times New Roman" w:eastAsiaTheme="majorEastAsia"/>
                <w:color w:val="auto"/>
                <w:szCs w:val="21"/>
              </w:rPr>
              <w:t>G030803</w:t>
            </w:r>
            <w:r>
              <w:rPr>
                <w:rFonts w:hint="eastAsia" w:cs="Times New Roman" w:asciiTheme="majorEastAsia" w:hAnsiTheme="majorEastAsia" w:eastAsiaTheme="majorEastAsia"/>
                <w:color w:val="auto"/>
                <w:szCs w:val="21"/>
              </w:rPr>
              <w:t>农村改革与发展，</w:t>
            </w:r>
            <w:r>
              <w:rPr>
                <w:rFonts w:hint="eastAsia" w:ascii="Times New Roman" w:hAnsi="Times New Roman" w:cs="Times New Roman" w:eastAsiaTheme="majorEastAsia"/>
                <w:color w:val="auto"/>
                <w:szCs w:val="21"/>
              </w:rPr>
              <w:t>G030804</w:t>
            </w:r>
            <w:r>
              <w:rPr>
                <w:rFonts w:hint="eastAsia" w:cs="Times New Roman" w:asciiTheme="majorEastAsia" w:hAnsiTheme="majorEastAsia" w:eastAsiaTheme="majorEastAsia"/>
                <w:color w:val="auto"/>
                <w:szCs w:val="21"/>
              </w:rPr>
              <w:t>食品经济管理）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农林经济管理是用经济学和管理学的方法研究与农林相关问题的一个应用型研究领域，关注农业生产、食品消费、减贫问题、环境资源与生产协调发展等问题。主要研究方向包括：林产品市场与贸易、林业制度与政策、林业可持续发展、农业投入与政策、农业科技创新与推广、农业产业发展、农业可持续发展、农产品市场与贸易、农业生产组织与制度、农村公共物品与公共服务管理、农地制度与管理、农村金融与保险、农村人力资本、农村建设与发展、农民生产、食品管理、粮食安全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G0312</w:t>
            </w:r>
            <w:r>
              <w:rPr>
                <w:rFonts w:cs="Times New Roman" w:asciiTheme="majorEastAsia" w:hAnsiTheme="majorEastAsia" w:eastAsiaTheme="majorEastAsia"/>
                <w:color w:val="auto"/>
                <w:szCs w:val="21"/>
              </w:rPr>
              <w:t>区域经济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0309</w:t>
            </w:r>
            <w:r>
              <w:rPr>
                <w:rFonts w:hint="eastAsia" w:cs="Times New Roman" w:asciiTheme="majorEastAsia" w:hAnsiTheme="majorEastAsia" w:eastAsiaTheme="majorEastAsia"/>
                <w:color w:val="auto"/>
                <w:szCs w:val="21"/>
              </w:rPr>
              <w:t>区域经济与产业经济（含</w:t>
            </w: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030901</w:t>
            </w:r>
            <w:r>
              <w:rPr>
                <w:rFonts w:hint="eastAsia" w:cs="Times New Roman" w:asciiTheme="majorEastAsia" w:hAnsiTheme="majorEastAsia" w:eastAsiaTheme="majorEastAsia"/>
                <w:color w:val="auto"/>
                <w:szCs w:val="21"/>
              </w:rPr>
              <w:t>区域经济管理）拆分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区域（城市）经济研究人口和经济活动在城市内部和城市之间的空间分布，是应用微观交叉学科。主要研究方向包括：城市经济、区域可持续发展、区域经济、空间经济与空间结构、房地产经济、交通经济等。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G0313</w:t>
            </w:r>
            <w:r>
              <w:rPr>
                <w:rFonts w:cs="Times New Roman" w:asciiTheme="majorEastAsia" w:hAnsiTheme="majorEastAsia" w:eastAsiaTheme="majorEastAsia"/>
                <w:color w:val="auto"/>
                <w:szCs w:val="21"/>
              </w:rPr>
              <w:t>人口劳动与健康经济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w:t>
            </w:r>
            <w:r>
              <w:rPr>
                <w:rFonts w:hint="eastAsia" w:ascii="Times New Roman" w:hAnsi="Times New Roman" w:cs="Times New Roman" w:eastAsiaTheme="majorEastAsia"/>
                <w:color w:val="auto"/>
                <w:szCs w:val="21"/>
              </w:rPr>
              <w:t>7</w:t>
            </w:r>
            <w:r>
              <w:rPr>
                <w:rFonts w:hint="eastAsia" w:cs="Times New Roman" w:asciiTheme="majorEastAsia" w:hAnsiTheme="majorEastAsia" w:eastAsiaTheme="majorEastAsia"/>
                <w:color w:val="auto"/>
                <w:szCs w:val="21"/>
              </w:rPr>
              <w:t>劳动经济（含</w:t>
            </w: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030701</w:t>
            </w:r>
            <w:r>
              <w:rPr>
                <w:rFonts w:hint="eastAsia" w:cs="Times New Roman" w:asciiTheme="majorEastAsia" w:hAnsiTheme="majorEastAsia" w:eastAsiaTheme="majorEastAsia"/>
                <w:color w:val="auto"/>
                <w:szCs w:val="21"/>
              </w:rPr>
              <w:t>劳动经济和</w:t>
            </w:r>
            <w:r>
              <w:rPr>
                <w:rFonts w:hint="eastAsia" w:ascii="Times New Roman" w:hAnsi="Times New Roman" w:cs="Times New Roman" w:eastAsiaTheme="majorEastAsia"/>
                <w:color w:val="auto"/>
                <w:szCs w:val="21"/>
              </w:rPr>
              <w:t>G</w:t>
            </w:r>
            <w:r>
              <w:rPr>
                <w:rFonts w:ascii="Times New Roman" w:hAnsi="Times New Roman" w:cs="Times New Roman" w:eastAsiaTheme="majorEastAsia"/>
                <w:color w:val="auto"/>
                <w:szCs w:val="21"/>
              </w:rPr>
              <w:t>030702</w:t>
            </w:r>
            <w:r>
              <w:rPr>
                <w:rFonts w:hint="eastAsia" w:cs="Times New Roman" w:asciiTheme="majorEastAsia" w:hAnsiTheme="majorEastAsia" w:eastAsiaTheme="majorEastAsia"/>
                <w:color w:val="auto"/>
                <w:szCs w:val="21"/>
              </w:rPr>
              <w:t>人口资源环境经济）拆分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人口劳动与健康经济研究的核心是关于人的问题，人口经济研究人口规模与经济发展之间的关系，劳动经济研究劳动力资源的配置，健康（卫生）经济通过经济学理论和方法研究卫生健康领域的问题，是医学、心理学、流行病学、保险学、管理学以及社会学等学科的交叉领域。主要研究方向包括：劳动供给、劳动需求、工作，工资与福利、人力资本、人口流动、劳动力市场机制与政策、劳动力市场差别与歧视、人口经济管理、健康经济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ascii="Times New Roman" w:hAnsi="Times New Roman" w:cs="Times New Roman" w:eastAsiaTheme="majorEastAsia"/>
                <w:color w:val="auto"/>
                <w:szCs w:val="21"/>
              </w:rPr>
              <w:t>G0314</w:t>
            </w:r>
            <w:r>
              <w:rPr>
                <w:rFonts w:cs="Times New Roman" w:asciiTheme="majorEastAsia" w:hAnsiTheme="majorEastAsia" w:eastAsiaTheme="majorEastAsia"/>
                <w:color w:val="auto"/>
                <w:szCs w:val="21"/>
              </w:rPr>
              <w:t>资源与环境经济</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cs="Times New Roman" w:asciiTheme="majorEastAsia" w:hAnsiTheme="majorEastAsia" w:eastAsiaTheme="majorEastAsia"/>
                <w:color w:val="auto"/>
                <w:szCs w:val="21"/>
              </w:rPr>
            </w:pPr>
            <w:r>
              <w:rPr>
                <w:rFonts w:hint="eastAsia" w:ascii="Times New Roman" w:hAnsi="Times New Roman" w:cs="Times New Roman" w:eastAsiaTheme="majorEastAsia"/>
                <w:color w:val="auto"/>
                <w:szCs w:val="21"/>
              </w:rPr>
              <w:t>新增代码，由G</w:t>
            </w:r>
            <w:r>
              <w:rPr>
                <w:rFonts w:ascii="Times New Roman" w:hAnsi="Times New Roman" w:cs="Times New Roman" w:eastAsiaTheme="majorEastAsia"/>
                <w:color w:val="auto"/>
                <w:szCs w:val="21"/>
              </w:rPr>
              <w:t>030</w:t>
            </w:r>
            <w:r>
              <w:rPr>
                <w:rFonts w:hint="eastAsia" w:ascii="Times New Roman" w:hAnsi="Times New Roman" w:cs="Times New Roman" w:eastAsiaTheme="majorEastAsia"/>
                <w:color w:val="auto"/>
                <w:szCs w:val="21"/>
              </w:rPr>
              <w:t>7</w:t>
            </w:r>
            <w:r>
              <w:rPr>
                <w:rFonts w:hint="eastAsia" w:cs="Times New Roman" w:asciiTheme="majorEastAsia" w:hAnsiTheme="majorEastAsia" w:eastAsiaTheme="majorEastAsia"/>
                <w:color w:val="auto"/>
                <w:szCs w:val="21"/>
              </w:rPr>
              <w:t>劳动经济（含</w:t>
            </w:r>
            <w:r>
              <w:rPr>
                <w:rFonts w:hint="eastAsia" w:ascii="Times New Roman" w:hAnsi="Times New Roman" w:cs="Times New Roman" w:eastAsiaTheme="majorEastAsia"/>
                <w:color w:val="auto"/>
                <w:szCs w:val="21"/>
              </w:rPr>
              <w:t xml:space="preserve"> G</w:t>
            </w:r>
            <w:r>
              <w:rPr>
                <w:rFonts w:ascii="Times New Roman" w:hAnsi="Times New Roman" w:cs="Times New Roman" w:eastAsiaTheme="majorEastAsia"/>
                <w:color w:val="auto"/>
                <w:szCs w:val="21"/>
              </w:rPr>
              <w:t>030702</w:t>
            </w:r>
            <w:r>
              <w:rPr>
                <w:rFonts w:hint="eastAsia" w:cs="Times New Roman" w:asciiTheme="majorEastAsia" w:hAnsiTheme="majorEastAsia" w:eastAsiaTheme="majorEastAsia"/>
                <w:color w:val="auto"/>
                <w:szCs w:val="21"/>
              </w:rPr>
              <w:t>人口资源环境经济）拆分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rPr>
                <w:rFonts w:cs="Times New Roman" w:asciiTheme="majorEastAsia" w:hAnsiTheme="majorEastAsia" w:eastAsiaTheme="majorEastAsia"/>
                <w:color w:val="auto"/>
                <w:szCs w:val="21"/>
              </w:rPr>
            </w:pPr>
            <w:r>
              <w:rPr>
                <w:rFonts w:hint="eastAsia" w:cs="Times New Roman" w:asciiTheme="majorEastAsia" w:hAnsiTheme="majorEastAsia" w:eastAsiaTheme="majorEastAsia"/>
                <w:color w:val="auto"/>
                <w:szCs w:val="21"/>
              </w:rPr>
              <w:t>资源与环境经济是经济学和环境科学的交叉新兴学科，运用经济科学和环境科学的理论和方法，分析人类经济系统和生态环境系统的相互关系，并通过设计相应的政策手段，推动经济和环境的可持续发展。主要研究方向包括：资源可持续发展战略、资源经济、绿色经济与低碳发展、循环经济与废弃物回收、环境经济、气候经济与气候政策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G0401公共管理与公共政策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G0401公共管理</w:t>
            </w:r>
          </w:p>
          <w:p>
            <w:pPr>
              <w:rPr>
                <w:rFonts w:ascii="Arial" w:hAnsi="Arial" w:cs="Arial"/>
                <w:color w:val="auto"/>
                <w:szCs w:val="21"/>
              </w:rPr>
            </w:pPr>
            <w:r>
              <w:rPr>
                <w:rFonts w:hint="eastAsia" w:ascii="Arial" w:hAnsi="Arial" w:cs="Arial"/>
                <w:color w:val="auto"/>
                <w:szCs w:val="21"/>
              </w:rPr>
              <w:t>（含</w:t>
            </w:r>
            <w:r>
              <w:rPr>
                <w:rFonts w:ascii="Arial" w:hAnsi="Arial" w:cs="Arial"/>
                <w:color w:val="auto"/>
                <w:szCs w:val="21"/>
              </w:rPr>
              <w:t>G040101</w:t>
            </w:r>
            <w:r>
              <w:rPr>
                <w:rFonts w:hint="eastAsia" w:ascii="Arial" w:hAnsi="Arial" w:cs="Arial"/>
                <w:color w:val="auto"/>
                <w:szCs w:val="21"/>
              </w:rPr>
              <w:t>、</w:t>
            </w:r>
            <w:r>
              <w:rPr>
                <w:rFonts w:ascii="Arial" w:hAnsi="Arial" w:cs="Arial"/>
                <w:color w:val="auto"/>
                <w:szCs w:val="21"/>
              </w:rPr>
              <w:t>G040102</w:t>
            </w:r>
            <w:r>
              <w:rPr>
                <w:rFonts w:hint="eastAsia" w:ascii="Arial" w:hAnsi="Arial" w:cs="Arial"/>
                <w:color w:val="auto"/>
                <w:szCs w:val="21"/>
              </w:rPr>
              <w:t>、</w:t>
            </w:r>
            <w:r>
              <w:rPr>
                <w:rFonts w:ascii="Arial" w:hAnsi="Arial" w:cs="Arial"/>
                <w:color w:val="auto"/>
                <w:szCs w:val="21"/>
              </w:rPr>
              <w:t>G040103</w:t>
            </w:r>
            <w:r>
              <w:rPr>
                <w:rFonts w:hint="eastAsia" w:ascii="Arial" w:hAnsi="Arial" w:cs="Arial"/>
                <w:color w:val="auto"/>
                <w:szCs w:val="21"/>
              </w:rPr>
              <w:t>）；</w:t>
            </w:r>
          </w:p>
          <w:p>
            <w:pPr>
              <w:rPr>
                <w:rFonts w:ascii="Arial" w:hAnsi="Arial" w:cs="Arial"/>
                <w:color w:val="auto"/>
                <w:szCs w:val="21"/>
              </w:rPr>
            </w:pPr>
            <w:r>
              <w:rPr>
                <w:rFonts w:ascii="Arial" w:hAnsi="Arial" w:cs="Arial"/>
                <w:color w:val="auto"/>
                <w:szCs w:val="21"/>
              </w:rPr>
              <w:t>G0403非营利组织管理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公共管理与公共政策是研究政府及其他公共组织的价值定位和实践活动规律的学科，通过研究政府和社会组织的功能定位和政策作用方式，揭示公共活动管理的规律，为公共政策制定提供依据，是整个宏观管理与政策研究领域的基础学科。</w:t>
            </w:r>
            <w:r>
              <w:rPr>
                <w:rFonts w:hint="eastAsia" w:ascii="宋体" w:hAnsi="宋体" w:cs="宋体"/>
                <w:color w:val="auto"/>
                <w:szCs w:val="21"/>
                <w:lang w:eastAsia="zh-CN"/>
              </w:rPr>
              <w:t>主要研究方向包括</w:t>
            </w:r>
            <w:r>
              <w:rPr>
                <w:rFonts w:hint="eastAsia" w:ascii="宋体" w:hAnsi="宋体" w:cs="宋体"/>
                <w:color w:val="auto"/>
                <w:szCs w:val="21"/>
              </w:rPr>
              <w:t>：公共产品与服务管理、公共人力资源管理、公共组织行为与管理、公共治理、公共管理技术与方法、政府绩效、政府治理与改革、政府规制、政府行为、国家治理、公共财政、行政管理、社会事业管理、社区建设与发展、社会服务与公民事务、社会管理体制、人口管理、非政府组织管理、其他非营利组织、慈善公益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G0402政策科学理论与方法</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G0402</w:t>
            </w:r>
            <w:r>
              <w:rPr>
                <w:rFonts w:hint="eastAsia" w:ascii="Arial" w:hAnsi="Arial" w:cs="Arial"/>
                <w:color w:val="auto"/>
                <w:szCs w:val="21"/>
              </w:rPr>
              <w:t>政策科学理论与方法</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ascii="宋体" w:hAnsi="宋体" w:cs="宋体"/>
                <w:color w:val="auto"/>
                <w:szCs w:val="21"/>
              </w:rPr>
              <w:t>政策科学理论与方法</w:t>
            </w:r>
            <w:r>
              <w:rPr>
                <w:rFonts w:hint="eastAsia" w:ascii="宋体" w:hAnsi="宋体" w:cs="宋体"/>
                <w:color w:val="auto"/>
                <w:szCs w:val="21"/>
              </w:rPr>
              <w:t>是研究公共政策基本理论与方法的学科，通过融合政治学、经济学、管理学、社会学、法学等理论和方法，构建政策科学的基本理论、基本方法与知识体系，为制定公共政策提供理论与方法基础，是公共管理学科发展的基石。</w:t>
            </w:r>
            <w:r>
              <w:rPr>
                <w:rFonts w:hint="eastAsia" w:ascii="宋体" w:hAnsi="宋体" w:cs="宋体"/>
                <w:color w:val="auto"/>
                <w:szCs w:val="21"/>
                <w:lang w:eastAsia="zh-CN"/>
              </w:rPr>
              <w:t>主要研究方向包括</w:t>
            </w:r>
            <w:r>
              <w:rPr>
                <w:rFonts w:hint="eastAsia" w:ascii="宋体" w:hAnsi="宋体" w:cs="宋体"/>
                <w:color w:val="auto"/>
                <w:szCs w:val="21"/>
              </w:rPr>
              <w:t>：政策分析与评估、政策创新等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G0403科技管理与政策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G0404</w:t>
            </w:r>
            <w:r>
              <w:rPr>
                <w:rFonts w:hint="eastAsia" w:ascii="Arial" w:hAnsi="Arial" w:cs="Arial"/>
                <w:color w:val="auto"/>
                <w:szCs w:val="21"/>
              </w:rPr>
              <w:t>科技管理与政策</w:t>
            </w:r>
          </w:p>
          <w:p>
            <w:pPr>
              <w:rPr>
                <w:rFonts w:ascii="Arial" w:hAnsi="Arial" w:cs="Arial"/>
                <w:color w:val="auto"/>
                <w:szCs w:val="21"/>
              </w:rPr>
            </w:pPr>
            <w:r>
              <w:rPr>
                <w:rFonts w:hint="eastAsia" w:ascii="Arial" w:hAnsi="Arial" w:cs="Arial"/>
                <w:color w:val="auto"/>
                <w:szCs w:val="21"/>
              </w:rPr>
              <w:t>（含</w:t>
            </w:r>
            <w:r>
              <w:rPr>
                <w:rFonts w:ascii="Arial" w:hAnsi="Arial" w:cs="Arial"/>
                <w:color w:val="auto"/>
                <w:szCs w:val="21"/>
              </w:rPr>
              <w:t>G040401</w:t>
            </w:r>
            <w:r>
              <w:rPr>
                <w:rFonts w:hint="eastAsia" w:ascii="Arial" w:hAnsi="Arial" w:cs="Arial"/>
                <w:color w:val="auto"/>
                <w:szCs w:val="21"/>
              </w:rPr>
              <w:t>、</w:t>
            </w:r>
            <w:r>
              <w:rPr>
                <w:rFonts w:ascii="Arial" w:hAnsi="Arial" w:cs="Arial"/>
                <w:color w:val="auto"/>
                <w:szCs w:val="21"/>
              </w:rPr>
              <w:t>G040402</w:t>
            </w:r>
            <w:r>
              <w:rPr>
                <w:rFonts w:hint="eastAsia" w:ascii="Arial" w:hAnsi="Arial" w:cs="Arial"/>
                <w:color w:val="auto"/>
                <w:szCs w:val="21"/>
              </w:rPr>
              <w:t>、</w:t>
            </w:r>
            <w:r>
              <w:rPr>
                <w:rFonts w:ascii="Arial" w:hAnsi="Arial" w:cs="Arial"/>
                <w:color w:val="auto"/>
                <w:szCs w:val="21"/>
              </w:rPr>
              <w:t>G040403</w:t>
            </w:r>
            <w:r>
              <w:rPr>
                <w:rFonts w:hint="eastAsia" w:ascii="Arial" w:hAnsi="Arial" w:cs="Arial"/>
                <w:color w:val="auto"/>
                <w:szCs w:val="21"/>
              </w:rPr>
              <w:t>）</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科技管理与政策是研究科学技术活动管理活动与政策的学科领域，以科技管理中的资源、组织、体制、评价、政策等为主要研究对象，总结科技管理规律和理论，为科技政策制定提供理论依据。</w:t>
            </w:r>
            <w:r>
              <w:rPr>
                <w:rFonts w:hint="eastAsia" w:ascii="宋体" w:hAnsi="宋体" w:cs="宋体"/>
                <w:color w:val="auto"/>
                <w:szCs w:val="21"/>
                <w:lang w:eastAsia="zh-CN"/>
              </w:rPr>
              <w:t>主要研究方向包括</w:t>
            </w:r>
            <w:r>
              <w:rPr>
                <w:rFonts w:hint="eastAsia" w:ascii="宋体" w:hAnsi="宋体" w:cs="宋体"/>
                <w:color w:val="auto"/>
                <w:szCs w:val="21"/>
              </w:rPr>
              <w:t>：科学计量学、科技评价、科技政策学、技术管理、科研体制、科研绩效与科技人才、科研项目（经费）、研究与发展、科研组织、科技资源、知识产权管理、知识产权政策等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G0404创新管理与政策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G0405</w:t>
            </w:r>
            <w:r>
              <w:rPr>
                <w:rFonts w:hint="eastAsia" w:ascii="Arial" w:hAnsi="Arial" w:cs="Arial"/>
                <w:color w:val="auto"/>
                <w:szCs w:val="21"/>
              </w:rPr>
              <w:t>创新管理与政策</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创新管理与政策是研究不同领域、不同层级、不同主体创新活动管理与创新政策的学科，融合创新经济学、创新管理、创新政策等理论方法，总结各类创新管理的规律，形成创新管理理论知识，为完善创新资源配置、提升创新效率、制定创新政策提供理论依据。</w:t>
            </w:r>
            <w:r>
              <w:rPr>
                <w:rFonts w:hint="eastAsia" w:ascii="宋体" w:hAnsi="宋体" w:cs="宋体"/>
                <w:color w:val="auto"/>
                <w:szCs w:val="21"/>
                <w:lang w:eastAsia="zh-CN"/>
              </w:rPr>
              <w:t>主要研究方向包括</w:t>
            </w:r>
            <w:r>
              <w:rPr>
                <w:rFonts w:hint="eastAsia" w:ascii="宋体" w:hAnsi="宋体" w:cs="宋体"/>
                <w:color w:val="auto"/>
                <w:szCs w:val="21"/>
              </w:rPr>
              <w:t>：国家创新系统、产业创新、区域创新、技术创新、创新服务与创新网络、创新战略管理、创新创业管理等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G0405健康管理与政策</w:t>
            </w:r>
          </w:p>
        </w:tc>
        <w:tc>
          <w:tcPr>
            <w:tcW w:w="2693" w:type="dxa"/>
            <w:tcBorders>
              <w:top w:val="nil"/>
              <w:left w:val="nil"/>
              <w:bottom w:val="single" w:color="000000" w:sz="8" w:space="0"/>
              <w:right w:val="single" w:color="000000" w:sz="8" w:space="0"/>
            </w:tcBorders>
            <w:shd w:val="clear" w:color="auto" w:fill="auto"/>
            <w:vAlign w:val="center"/>
          </w:tcPr>
          <w:p>
            <w:pPr>
              <w:rPr>
                <w:color w:val="auto"/>
                <w:szCs w:val="21"/>
              </w:rPr>
            </w:pPr>
            <w:r>
              <w:rPr>
                <w:rFonts w:hint="eastAsia" w:ascii="Arial" w:hAnsi="Arial" w:cs="Arial"/>
                <w:color w:val="auto"/>
                <w:szCs w:val="21"/>
              </w:rPr>
              <w:t>由原</w:t>
            </w:r>
            <w:r>
              <w:rPr>
                <w:rFonts w:ascii="Arial" w:hAnsi="Arial" w:cs="Arial"/>
                <w:color w:val="auto"/>
                <w:szCs w:val="21"/>
              </w:rPr>
              <w:t>G0406卫生管理与政策</w:t>
            </w:r>
            <w:r>
              <w:rPr>
                <w:rFonts w:hint="eastAsia" w:ascii="Arial" w:hAnsi="Arial" w:cs="Arial"/>
                <w:color w:val="auto"/>
                <w:szCs w:val="21"/>
              </w:rPr>
              <w:t>拆分（含</w:t>
            </w:r>
            <w:r>
              <w:rPr>
                <w:rFonts w:ascii="Arial" w:hAnsi="Arial" w:cs="Arial"/>
                <w:color w:val="auto"/>
                <w:szCs w:val="21"/>
              </w:rPr>
              <w:t>G040601</w:t>
            </w:r>
            <w:r>
              <w:rPr>
                <w:rFonts w:hint="eastAsia" w:ascii="Arial" w:hAnsi="Arial" w:cs="Arial"/>
                <w:color w:val="auto"/>
                <w:szCs w:val="21"/>
              </w:rPr>
              <w:t>、</w:t>
            </w:r>
            <w:r>
              <w:rPr>
                <w:rFonts w:ascii="Arial" w:hAnsi="Arial" w:cs="Arial"/>
                <w:color w:val="auto"/>
                <w:szCs w:val="21"/>
              </w:rPr>
              <w:t>G040604</w:t>
            </w:r>
            <w:r>
              <w:rPr>
                <w:rFonts w:hint="eastAsia" w:ascii="Arial" w:hAnsi="Arial" w:cs="Arial"/>
                <w:color w:val="auto"/>
                <w:szCs w:val="21"/>
              </w:rPr>
              <w:t>、</w:t>
            </w:r>
          </w:p>
          <w:p>
            <w:pPr>
              <w:rPr>
                <w:rFonts w:ascii="Arial" w:hAnsi="Arial" w:cs="Arial"/>
                <w:color w:val="auto"/>
                <w:szCs w:val="21"/>
              </w:rPr>
            </w:pPr>
            <w:r>
              <w:rPr>
                <w:rFonts w:ascii="Arial" w:hAnsi="Arial" w:cs="Arial"/>
                <w:color w:val="auto"/>
                <w:szCs w:val="21"/>
              </w:rPr>
              <w:t>G040605</w:t>
            </w:r>
            <w:r>
              <w:rPr>
                <w:rFonts w:hint="eastAsia" w:ascii="Arial" w:hAnsi="Arial" w:cs="Arial"/>
                <w:color w:val="auto"/>
                <w:szCs w:val="21"/>
              </w:rPr>
              <w:t>）</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健康管理与政策是研究公共卫生与公众健康管理规律、以及健康领域公共政策的学科，通过研究公共卫生事业、卫生管理体制、公众健康管理等问题，总结形成健康管理的规律与理论体系，为改进公共卫生与公众健康管理和制定相关政策提供依据。</w:t>
            </w:r>
            <w:r>
              <w:rPr>
                <w:rFonts w:hint="eastAsia" w:ascii="宋体" w:hAnsi="宋体" w:cs="宋体"/>
                <w:color w:val="auto"/>
                <w:szCs w:val="21"/>
                <w:lang w:eastAsia="zh-CN"/>
              </w:rPr>
              <w:t>主要研究方向包括</w:t>
            </w:r>
            <w:r>
              <w:rPr>
                <w:rFonts w:hint="eastAsia" w:ascii="宋体" w:hAnsi="宋体" w:cs="宋体"/>
                <w:color w:val="auto"/>
                <w:szCs w:val="21"/>
              </w:rPr>
              <w:t>：公共卫生事业管理、卫生政策与体制改革、健康保障、卫生经济、公众健康管理与治理等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G0406医药管理与政策</w:t>
            </w:r>
          </w:p>
        </w:tc>
        <w:tc>
          <w:tcPr>
            <w:tcW w:w="2693" w:type="dxa"/>
            <w:tcBorders>
              <w:top w:val="nil"/>
              <w:left w:val="nil"/>
              <w:bottom w:val="single" w:color="000000" w:sz="8" w:space="0"/>
              <w:right w:val="single" w:color="000000" w:sz="8" w:space="0"/>
            </w:tcBorders>
            <w:shd w:val="clear" w:color="auto" w:fill="auto"/>
            <w:vAlign w:val="center"/>
          </w:tcPr>
          <w:p>
            <w:pPr>
              <w:rPr>
                <w:color w:val="auto"/>
                <w:szCs w:val="21"/>
              </w:rPr>
            </w:pPr>
            <w:r>
              <w:rPr>
                <w:rFonts w:hint="eastAsia" w:ascii="Arial" w:hAnsi="Arial" w:cs="Arial"/>
                <w:color w:val="auto"/>
                <w:szCs w:val="21"/>
              </w:rPr>
              <w:t>由原</w:t>
            </w:r>
            <w:r>
              <w:rPr>
                <w:rFonts w:ascii="Arial" w:hAnsi="Arial" w:cs="Arial"/>
                <w:color w:val="auto"/>
                <w:szCs w:val="21"/>
              </w:rPr>
              <w:t>G0406卫生管理与政策</w:t>
            </w:r>
            <w:r>
              <w:rPr>
                <w:rFonts w:hint="eastAsia" w:ascii="Arial" w:hAnsi="Arial" w:cs="Arial"/>
                <w:color w:val="auto"/>
                <w:szCs w:val="21"/>
              </w:rPr>
              <w:t>拆分（含</w:t>
            </w:r>
            <w:r>
              <w:rPr>
                <w:rFonts w:ascii="Arial" w:hAnsi="Arial" w:cs="Arial"/>
                <w:color w:val="auto"/>
                <w:szCs w:val="21"/>
              </w:rPr>
              <w:t>G040602</w:t>
            </w:r>
            <w:r>
              <w:rPr>
                <w:rFonts w:hint="eastAsia" w:ascii="Arial" w:hAnsi="Arial" w:cs="Arial"/>
                <w:color w:val="auto"/>
                <w:szCs w:val="21"/>
              </w:rPr>
              <w:t>、</w:t>
            </w:r>
            <w:r>
              <w:rPr>
                <w:rFonts w:ascii="Arial" w:hAnsi="Arial" w:cs="Arial"/>
                <w:color w:val="auto"/>
                <w:szCs w:val="21"/>
              </w:rPr>
              <w:t>G040603</w:t>
            </w:r>
            <w:r>
              <w:rPr>
                <w:rFonts w:hint="eastAsia" w:ascii="Arial" w:hAnsi="Arial" w:cs="Arial"/>
                <w:color w:val="auto"/>
                <w:szCs w:val="21"/>
              </w:rPr>
              <w:t>、</w:t>
            </w:r>
          </w:p>
          <w:p>
            <w:pPr>
              <w:rPr>
                <w:rFonts w:ascii="Arial" w:hAnsi="Arial" w:cs="Arial"/>
                <w:color w:val="auto"/>
                <w:szCs w:val="21"/>
              </w:rPr>
            </w:pPr>
            <w:r>
              <w:rPr>
                <w:rFonts w:ascii="Arial" w:hAnsi="Arial" w:cs="Arial"/>
                <w:color w:val="auto"/>
                <w:szCs w:val="21"/>
              </w:rPr>
              <w:t>G040606</w:t>
            </w:r>
            <w:r>
              <w:rPr>
                <w:rFonts w:hint="eastAsia" w:ascii="Arial" w:hAnsi="Arial" w:cs="Arial"/>
                <w:color w:val="auto"/>
                <w:szCs w:val="21"/>
              </w:rPr>
              <w:t>）</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医药管理与政策是研究医院与药物管理、以及医药领域公共政策的学科，通过研究医院、医疗服务、医药管理等问题，总结形成医药管理的规律与理论知识，为提升和改进医药管理水平、制定医药政策提供理论依据。</w:t>
            </w:r>
            <w:r>
              <w:rPr>
                <w:rFonts w:hint="eastAsia" w:ascii="宋体" w:hAnsi="宋体" w:cs="宋体"/>
                <w:color w:val="auto"/>
                <w:szCs w:val="21"/>
                <w:lang w:eastAsia="zh-CN"/>
              </w:rPr>
              <w:t>主要研究方向包括</w:t>
            </w:r>
            <w:r>
              <w:rPr>
                <w:rFonts w:hint="eastAsia" w:ascii="宋体" w:hAnsi="宋体" w:cs="宋体"/>
                <w:color w:val="auto"/>
                <w:szCs w:val="21"/>
              </w:rPr>
              <w:t>：医院管理、医疗服务管理、慢病与护理管理、药事管理、中医中药管理等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G0407教育管理与政策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G0407教育管理与政策</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教育管理与政策是研究教育行政与教育组织管理、以及教育领域公共政策的管理学领域，融合了教育经济学、公共管理学、教育社会学、组织行为学和法学等多学科理论，以教育领域的公共管理及其相关政策、教育组织的运营管理等为研究对象，总结各类教育领域的管理规律和理论，为制定教育政策提供理论依据。</w:t>
            </w:r>
            <w:r>
              <w:rPr>
                <w:rFonts w:hint="eastAsia" w:ascii="宋体" w:hAnsi="宋体" w:cs="宋体"/>
                <w:color w:val="auto"/>
                <w:szCs w:val="21"/>
                <w:lang w:eastAsia="zh-CN"/>
              </w:rPr>
              <w:t>主要研究方向包括</w:t>
            </w:r>
            <w:r>
              <w:rPr>
                <w:rFonts w:hint="eastAsia" w:ascii="宋体" w:hAnsi="宋体" w:cs="宋体"/>
                <w:color w:val="auto"/>
                <w:szCs w:val="21"/>
              </w:rPr>
              <w:t>：中等教育与职业教育、高等教育、继续教育与社会教育、教学管理、教育经济、教育政策与改革、学前教育与基础教育等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G0408文化管理与政策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G0408文化与休闲产业管理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文化管理与政策是研究文化发展与文化领域公共政策的学科，通过研究文化事业、产业和休闲等问题，总结形成文化发展相关的规律与理论知识，为文化管理与政策制定提供理论依据。</w:t>
            </w:r>
            <w:r>
              <w:rPr>
                <w:rFonts w:hint="eastAsia" w:ascii="宋体" w:hAnsi="宋体" w:cs="宋体"/>
                <w:color w:val="auto"/>
                <w:szCs w:val="21"/>
                <w:lang w:eastAsia="zh-CN"/>
              </w:rPr>
              <w:t>主要研究方向包括</w:t>
            </w:r>
            <w:r>
              <w:rPr>
                <w:rFonts w:hint="eastAsia" w:ascii="宋体" w:hAnsi="宋体" w:cs="宋体"/>
                <w:color w:val="auto"/>
                <w:szCs w:val="21"/>
              </w:rPr>
              <w:t>：文化事业管理、文化发展政策、文化产业发展、文化休闲与旅游等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G0409公共安全与应急管理</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G0409公共安全与危机管理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公共安全与应急管理是研究国家或区域公共安全问题的交叉学科，通过研究突发公共事件与国家、社会、经济等系统的相互作用过程，揭示突发公共事件的发生发展、衍生演化机理，揭示突发公共事件、危害对象，以及管理主体之间的相互作用规律，构建理论知识体系，为制定公共安全与应急管理政策提供依据。</w:t>
            </w:r>
            <w:r>
              <w:rPr>
                <w:rFonts w:hint="eastAsia" w:ascii="宋体" w:hAnsi="宋体" w:cs="宋体"/>
                <w:color w:val="auto"/>
                <w:szCs w:val="21"/>
                <w:lang w:eastAsia="zh-CN"/>
              </w:rPr>
              <w:t>主要研究方向包括</w:t>
            </w:r>
            <w:r>
              <w:rPr>
                <w:rFonts w:hint="eastAsia" w:ascii="宋体" w:hAnsi="宋体" w:cs="宋体"/>
                <w:color w:val="auto"/>
                <w:szCs w:val="21"/>
              </w:rPr>
              <w:t>：灾害管理、生产安全管理、卫生应急管理、社会安全、危机管理、舆情监测与预警、应急资源管理、应急组织体系管理、应急决策、突发事件应急管理等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G0410社会治理与社会保障</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G0410社会福利管理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社会治理与社会保障是研究社会组织与主体对社会事务进行治理的学科领域，通过对相关社会事务现象和问题的研究，总结形成社会治理理论知识体系，为提升社会治理与保障能力提供理论依据。</w:t>
            </w:r>
            <w:r>
              <w:rPr>
                <w:rFonts w:hint="eastAsia" w:ascii="宋体" w:hAnsi="宋体" w:cs="宋体"/>
                <w:color w:val="auto"/>
                <w:szCs w:val="21"/>
                <w:lang w:eastAsia="zh-CN"/>
              </w:rPr>
              <w:t>主要研究方向包括</w:t>
            </w:r>
            <w:r>
              <w:rPr>
                <w:rFonts w:hint="eastAsia" w:ascii="宋体" w:hAnsi="宋体" w:cs="宋体"/>
                <w:color w:val="auto"/>
                <w:szCs w:val="21"/>
              </w:rPr>
              <w:t>：社会保障制度、医疗保障、养老保障、住房保障、工伤失业保险、社会救助与社会福利等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G0411环境与生态管理</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G0411环境与生态管理</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环境与生态管理是研究环境问题和生态问题的交叉研究学科，综合运用环境经济学、生态学和管理学等多学科的理论与方法，以正确处理社会经济发展、环境保护与生态系统平衡之间的关系为研究对象，总结环境保护规律、生态系统规律与经济发展规律，是宏观管理科学的重要学科领域。</w:t>
            </w:r>
            <w:r>
              <w:rPr>
                <w:rFonts w:hint="eastAsia" w:ascii="宋体" w:hAnsi="宋体" w:cs="宋体"/>
                <w:color w:val="auto"/>
                <w:szCs w:val="21"/>
                <w:lang w:eastAsia="zh-CN"/>
              </w:rPr>
              <w:t>主要研究方向包括</w:t>
            </w:r>
            <w:r>
              <w:rPr>
                <w:rFonts w:hint="eastAsia" w:ascii="宋体" w:hAnsi="宋体" w:cs="宋体"/>
                <w:color w:val="auto"/>
                <w:szCs w:val="21"/>
              </w:rPr>
              <w:t>：环境政策、污染减排、环境风险管理、环境管理</w:t>
            </w:r>
            <w:r>
              <w:rPr>
                <w:rFonts w:ascii="宋体" w:hAnsi="宋体" w:cs="宋体"/>
                <w:color w:val="auto"/>
                <w:szCs w:val="21"/>
              </w:rPr>
              <w:t>、</w:t>
            </w:r>
            <w:r>
              <w:rPr>
                <w:rFonts w:hint="eastAsia" w:ascii="宋体" w:hAnsi="宋体" w:cs="宋体"/>
                <w:color w:val="auto"/>
                <w:szCs w:val="21"/>
              </w:rPr>
              <w:t>生态管理、生态补偿、生态系统服务、城市生态管理等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G0412资源管理与政策</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G0412资源管理与政策</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cs="Times New Roman" w:asciiTheme="minorEastAsia" w:hAnsiTheme="minorEastAsia"/>
                <w:bCs/>
                <w:color w:val="auto"/>
                <w:szCs w:val="21"/>
              </w:rPr>
            </w:pPr>
            <w:r>
              <w:rPr>
                <w:rFonts w:hint="eastAsia" w:cs="Times New Roman" w:asciiTheme="minorEastAsia" w:hAnsiTheme="minorEastAsia"/>
                <w:bCs/>
                <w:color w:val="auto"/>
                <w:szCs w:val="21"/>
              </w:rPr>
              <w:t>资源管理与政策是研究各类自然资源合理利用、促进经济社会可持续发展的学科，以资源获取和使用中的风险和机会管理为研究对象，总结资源管理中的问题、规律与理论，为改进资源管理和政策制定提供依据。</w:t>
            </w:r>
            <w:r>
              <w:rPr>
                <w:rFonts w:hint="eastAsia" w:cs="Times New Roman" w:asciiTheme="minorEastAsia" w:hAnsiTheme="minorEastAsia"/>
                <w:bCs/>
                <w:color w:val="auto"/>
                <w:szCs w:val="21"/>
                <w:lang w:eastAsia="zh-CN"/>
              </w:rPr>
              <w:t>主要研究方向包括</w:t>
            </w:r>
            <w:r>
              <w:rPr>
                <w:rFonts w:hint="eastAsia" w:cs="Times New Roman" w:asciiTheme="minorEastAsia" w:hAnsiTheme="minorEastAsia"/>
                <w:bCs/>
                <w:color w:val="auto"/>
                <w:szCs w:val="21"/>
              </w:rPr>
              <w:t>：能源经济管理、能源金融、能源政策、节能减排机制与政策、矿产资源管理、土地资源管理、水资源管理等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G0413区域管理与城市治理</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G0413区域发展管理</w:t>
            </w:r>
          </w:p>
          <w:p>
            <w:pPr>
              <w:rPr>
                <w:rFonts w:ascii="Arial" w:hAnsi="Arial" w:cs="Arial"/>
                <w:color w:val="auto"/>
                <w:szCs w:val="21"/>
              </w:rPr>
            </w:pPr>
            <w:r>
              <w:rPr>
                <w:rFonts w:hint="eastAsia" w:ascii="Arial" w:hAnsi="Arial" w:cs="Arial"/>
                <w:color w:val="auto"/>
                <w:szCs w:val="21"/>
              </w:rPr>
              <w:t>（含</w:t>
            </w:r>
            <w:r>
              <w:rPr>
                <w:rFonts w:ascii="Arial" w:hAnsi="Arial" w:cs="Arial"/>
                <w:color w:val="auto"/>
                <w:szCs w:val="21"/>
              </w:rPr>
              <w:t>G041301</w:t>
            </w:r>
            <w:r>
              <w:rPr>
                <w:rFonts w:hint="eastAsia" w:ascii="Arial" w:hAnsi="Arial" w:cs="Arial"/>
                <w:color w:val="auto"/>
                <w:szCs w:val="21"/>
              </w:rPr>
              <w:t>、</w:t>
            </w:r>
            <w:r>
              <w:rPr>
                <w:rFonts w:ascii="Arial" w:hAnsi="Arial" w:cs="Arial"/>
                <w:color w:val="auto"/>
                <w:szCs w:val="21"/>
              </w:rPr>
              <w:t>G041302</w:t>
            </w:r>
            <w:r>
              <w:rPr>
                <w:rFonts w:hint="eastAsia" w:ascii="Arial" w:hAnsi="Arial" w:cs="Arial"/>
                <w:color w:val="auto"/>
                <w:szCs w:val="21"/>
              </w:rPr>
              <w:t>）</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ascii="宋体" w:hAnsi="宋体" w:cs="宋体"/>
                <w:color w:val="auto"/>
                <w:szCs w:val="21"/>
              </w:rPr>
              <w:t>区域</w:t>
            </w:r>
            <w:r>
              <w:rPr>
                <w:rFonts w:hint="eastAsia" w:ascii="宋体" w:hAnsi="宋体" w:cs="宋体"/>
                <w:color w:val="auto"/>
                <w:szCs w:val="21"/>
              </w:rPr>
              <w:t>管理与城市治理是研究地方政府为了实现区域公共利益而对辖区公共事务进行政策行动的学科领域，通过研究地方政府区域规划、组织、行政等管理手段，以及城市多主体参与、协商、合作等治理机制，总结区域管理与城市治理的规律，形成理论知识体系，为提升区域管理与城市治理能力提供理论依据。</w:t>
            </w:r>
            <w:r>
              <w:rPr>
                <w:rFonts w:hint="eastAsia" w:ascii="宋体" w:hAnsi="宋体" w:cs="宋体"/>
                <w:color w:val="auto"/>
                <w:szCs w:val="21"/>
                <w:lang w:eastAsia="zh-CN"/>
              </w:rPr>
              <w:t>主要研究方向包括</w:t>
            </w:r>
            <w:r>
              <w:rPr>
                <w:rFonts w:hint="eastAsia" w:ascii="宋体" w:hAnsi="宋体" w:cs="宋体"/>
                <w:color w:val="auto"/>
                <w:szCs w:val="21"/>
              </w:rPr>
              <w:t>：区域发展战略与政策、区域规划管理、全球化与区域发展、特殊区域管理、区域集聚与区域生产力布局、城市建设与发展管理、城镇化与城市经济、房地产管理、城市交通管理、城市基础设施与公共服务管理、城市空间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G0414数字治理与信息资源管理</w:t>
            </w:r>
          </w:p>
        </w:tc>
        <w:tc>
          <w:tcPr>
            <w:tcW w:w="2693" w:type="dxa"/>
            <w:tcBorders>
              <w:top w:val="nil"/>
              <w:left w:val="nil"/>
              <w:bottom w:val="single" w:color="000000" w:sz="8" w:space="0"/>
              <w:right w:val="single" w:color="000000" w:sz="8" w:space="0"/>
            </w:tcBorders>
            <w:shd w:val="clear" w:color="auto" w:fill="auto"/>
            <w:vAlign w:val="center"/>
          </w:tcPr>
          <w:p>
            <w:pPr>
              <w:rPr>
                <w:rFonts w:ascii="Arial" w:hAnsi="Arial" w:cs="Arial"/>
                <w:color w:val="auto"/>
                <w:szCs w:val="21"/>
              </w:rPr>
            </w:pPr>
            <w:r>
              <w:rPr>
                <w:rFonts w:ascii="Arial" w:hAnsi="Arial" w:cs="Arial"/>
                <w:color w:val="auto"/>
                <w:szCs w:val="21"/>
              </w:rPr>
              <w:t>G0414信息资源管理</w:t>
            </w:r>
          </w:p>
          <w:p>
            <w:pPr>
              <w:rPr>
                <w:rFonts w:ascii="Arial" w:hAnsi="Arial" w:cs="Arial"/>
                <w:color w:val="auto"/>
                <w:szCs w:val="21"/>
              </w:rPr>
            </w:pPr>
            <w:r>
              <w:rPr>
                <w:rFonts w:hint="eastAsia" w:ascii="Arial" w:hAnsi="Arial" w:cs="Arial"/>
                <w:color w:val="auto"/>
                <w:szCs w:val="21"/>
              </w:rPr>
              <w:t>（含</w:t>
            </w:r>
            <w:r>
              <w:rPr>
                <w:rFonts w:ascii="Arial" w:hAnsi="Arial" w:cs="Arial"/>
                <w:color w:val="auto"/>
                <w:szCs w:val="21"/>
              </w:rPr>
              <w:t>G041401</w:t>
            </w:r>
            <w:r>
              <w:rPr>
                <w:rFonts w:hint="eastAsia" w:ascii="Arial" w:hAnsi="Arial" w:cs="Arial"/>
                <w:color w:val="auto"/>
                <w:szCs w:val="21"/>
              </w:rPr>
              <w:t>、</w:t>
            </w:r>
            <w:r>
              <w:rPr>
                <w:rFonts w:ascii="Arial" w:hAnsi="Arial" w:cs="Arial"/>
                <w:color w:val="auto"/>
                <w:szCs w:val="21"/>
              </w:rPr>
              <w:t>G041402</w:t>
            </w:r>
            <w:r>
              <w:rPr>
                <w:rFonts w:hint="eastAsia" w:ascii="Arial" w:hAnsi="Arial" w:cs="Arial"/>
                <w:color w:val="auto"/>
                <w:szCs w:val="21"/>
              </w:rPr>
              <w:t>）；</w:t>
            </w:r>
          </w:p>
          <w:p>
            <w:pPr>
              <w:rPr>
                <w:rFonts w:ascii="Arial" w:hAnsi="Arial" w:cs="Arial"/>
                <w:color w:val="auto"/>
                <w:szCs w:val="21"/>
              </w:rPr>
            </w:pPr>
            <w:r>
              <w:rPr>
                <w:rFonts w:hint="eastAsia" w:ascii="Arial" w:hAnsi="Arial" w:cs="Arial"/>
                <w:color w:val="auto"/>
                <w:szCs w:val="21"/>
              </w:rPr>
              <w:t>G0415</w:t>
            </w:r>
            <w:r>
              <w:rPr>
                <w:rFonts w:ascii="Arial" w:hAnsi="Arial" w:cs="Arial"/>
                <w:color w:val="auto"/>
                <w:szCs w:val="21"/>
              </w:rPr>
              <w:t>电子政务</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数字治理与信息资源管理是综合信息资源管理分析工具以及信息科学和数据科学等技术手段的一门交叉学科，为探讨如何在数字化社会实现智能治理，以及实现数据要素优化配置提供理论基础。</w:t>
            </w:r>
            <w:r>
              <w:rPr>
                <w:rFonts w:hint="eastAsia" w:ascii="宋体" w:hAnsi="宋体" w:cs="宋体"/>
                <w:color w:val="auto"/>
                <w:szCs w:val="21"/>
                <w:lang w:eastAsia="zh-CN"/>
              </w:rPr>
              <w:t>主要研究方向包括</w:t>
            </w:r>
            <w:r>
              <w:rPr>
                <w:rFonts w:hint="eastAsia" w:ascii="宋体" w:hAnsi="宋体" w:cs="宋体"/>
                <w:color w:val="auto"/>
                <w:szCs w:val="21"/>
              </w:rPr>
              <w:t>：数字治理、竞争情报、知识管理、科技情报管理、图书档案管理、经济信息管理、网络信息管理、社会信息管理、政务信息管理、政府信息化、电子政务与政府管理等</w:t>
            </w:r>
          </w:p>
        </w:tc>
      </w:tr>
      <w:tr>
        <w:tblPrEx>
          <w:tblCellMar>
            <w:top w:w="0" w:type="dxa"/>
            <w:left w:w="108" w:type="dxa"/>
            <w:bottom w:w="0" w:type="dxa"/>
            <w:right w:w="108" w:type="dxa"/>
          </w:tblCellMar>
        </w:tblPrEx>
        <w:trPr>
          <w:trHeight w:val="1035" w:hRule="atLeast"/>
        </w:trPr>
        <w:tc>
          <w:tcPr>
            <w:tcW w:w="2139" w:type="dxa"/>
            <w:tcBorders>
              <w:top w:val="nil"/>
              <w:left w:val="single" w:color="auto" w:sz="4" w:space="0"/>
              <w:bottom w:val="single" w:color="auto" w:sz="4" w:space="0"/>
              <w:right w:val="single" w:color="000000" w:sz="8" w:space="0"/>
            </w:tcBorders>
            <w:shd w:val="clear" w:color="auto" w:fill="auto"/>
            <w:vAlign w:val="center"/>
          </w:tcPr>
          <w:p>
            <w:pPr>
              <w:jc w:val="center"/>
              <w:rPr>
                <w:rFonts w:ascii="Arial" w:hAnsi="Arial" w:cs="Arial"/>
                <w:color w:val="auto"/>
                <w:szCs w:val="21"/>
              </w:rPr>
            </w:pPr>
            <w:r>
              <w:rPr>
                <w:rFonts w:hint="eastAsia" w:ascii="Arial" w:hAnsi="Arial" w:cs="Arial"/>
                <w:color w:val="auto"/>
                <w:szCs w:val="21"/>
              </w:rPr>
              <w:t>G0415全球治理与可持续发展</w:t>
            </w:r>
          </w:p>
        </w:tc>
        <w:tc>
          <w:tcPr>
            <w:tcW w:w="2693" w:type="dxa"/>
            <w:tcBorders>
              <w:top w:val="nil"/>
              <w:left w:val="nil"/>
              <w:bottom w:val="single" w:color="000000" w:sz="8" w:space="0"/>
              <w:right w:val="single" w:color="000000" w:sz="8" w:space="0"/>
            </w:tcBorders>
            <w:shd w:val="clear" w:color="auto" w:fill="auto"/>
            <w:vAlign w:val="center"/>
          </w:tcPr>
          <w:p>
            <w:pPr>
              <w:jc w:val="center"/>
              <w:rPr>
                <w:rFonts w:ascii="黑体" w:hAnsi="黑体" w:eastAsia="黑体" w:cs="Times New Roman"/>
                <w:b/>
                <w:bCs/>
                <w:color w:val="auto"/>
                <w:szCs w:val="21"/>
              </w:rPr>
            </w:pPr>
            <w:r>
              <w:rPr>
                <w:rFonts w:hint="eastAsia" w:ascii="Arial" w:hAnsi="Arial" w:cs="Arial"/>
                <w:color w:val="auto"/>
                <w:szCs w:val="21"/>
              </w:rPr>
              <w:t>新增代码</w:t>
            </w:r>
          </w:p>
        </w:tc>
        <w:tc>
          <w:tcPr>
            <w:tcW w:w="9094" w:type="dxa"/>
            <w:gridSpan w:val="2"/>
            <w:tcBorders>
              <w:top w:val="nil"/>
              <w:left w:val="single" w:color="auto" w:sz="4" w:space="0"/>
              <w:bottom w:val="single" w:color="auto" w:sz="4" w:space="0"/>
              <w:right w:val="single" w:color="auto" w:sz="4" w:space="0"/>
            </w:tcBorders>
            <w:shd w:val="clear" w:color="auto" w:fill="auto"/>
            <w:noWrap/>
          </w:tcPr>
          <w:p>
            <w:pPr>
              <w:jc w:val="left"/>
              <w:rPr>
                <w:rFonts w:ascii="黑体" w:hAnsi="黑体" w:eastAsia="黑体" w:cs="Times New Roman"/>
                <w:b/>
                <w:bCs/>
                <w:color w:val="auto"/>
                <w:szCs w:val="21"/>
              </w:rPr>
            </w:pPr>
            <w:r>
              <w:rPr>
                <w:rFonts w:hint="eastAsia" w:ascii="宋体" w:hAnsi="宋体" w:cs="宋体"/>
                <w:color w:val="auto"/>
                <w:szCs w:val="21"/>
              </w:rPr>
              <w:t>全球治理与可持续发展是研究全球性公共活动治理和人类可持续发展理论和实践的领域，是国家参与全球经济社会发展过程中新兴的交叉学科，通过研究相关领域的全球治理组织、结构与规则运行，揭示全球治理规律，总结全球治理理论，为实现人类可持续发展目标提供理论基础与政策依据。</w:t>
            </w:r>
            <w:r>
              <w:rPr>
                <w:rFonts w:hint="eastAsia" w:ascii="宋体" w:hAnsi="宋体" w:cs="宋体"/>
                <w:color w:val="auto"/>
                <w:szCs w:val="21"/>
                <w:lang w:eastAsia="zh-CN"/>
              </w:rPr>
              <w:t>主要研究方向包括</w:t>
            </w:r>
            <w:r>
              <w:rPr>
                <w:rFonts w:hint="eastAsia" w:ascii="宋体" w:hAnsi="宋体" w:cs="宋体"/>
                <w:color w:val="auto"/>
                <w:szCs w:val="21"/>
              </w:rPr>
              <w:t>：</w:t>
            </w:r>
            <w:r>
              <w:rPr>
                <w:rFonts w:hint="eastAsia" w:ascii="宋体" w:hAnsi="宋体" w:eastAsia="宋体" w:cs="宋体"/>
                <w:color w:val="auto"/>
                <w:szCs w:val="21"/>
              </w:rPr>
              <w:t>全球治理规则、全球治理组织、全球治理结构、全球科技治理、全球能源治理、全球气候治理、全球卫生治理、全球安全治理、全球贫困治理、人类可持续发展等。</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8D"/>
    <w:rsid w:val="000D4C8D"/>
    <w:rsid w:val="000E6FEC"/>
    <w:rsid w:val="00254D67"/>
    <w:rsid w:val="002678A3"/>
    <w:rsid w:val="0028788F"/>
    <w:rsid w:val="00350CC3"/>
    <w:rsid w:val="003E1AA9"/>
    <w:rsid w:val="004C5CDF"/>
    <w:rsid w:val="0050334D"/>
    <w:rsid w:val="005E1C96"/>
    <w:rsid w:val="00666355"/>
    <w:rsid w:val="00673061"/>
    <w:rsid w:val="00710FDB"/>
    <w:rsid w:val="007151B3"/>
    <w:rsid w:val="00786ED8"/>
    <w:rsid w:val="007F7831"/>
    <w:rsid w:val="00832010"/>
    <w:rsid w:val="008430C4"/>
    <w:rsid w:val="00843556"/>
    <w:rsid w:val="00876CA8"/>
    <w:rsid w:val="008B5ECB"/>
    <w:rsid w:val="008E2365"/>
    <w:rsid w:val="00982312"/>
    <w:rsid w:val="00995427"/>
    <w:rsid w:val="00A043E3"/>
    <w:rsid w:val="00A1774B"/>
    <w:rsid w:val="00A8113E"/>
    <w:rsid w:val="00B00F4E"/>
    <w:rsid w:val="00B3264F"/>
    <w:rsid w:val="00B41ECB"/>
    <w:rsid w:val="00B760A2"/>
    <w:rsid w:val="00BD24B8"/>
    <w:rsid w:val="00BE5865"/>
    <w:rsid w:val="00BF1ABC"/>
    <w:rsid w:val="00C92AD0"/>
    <w:rsid w:val="00CE0793"/>
    <w:rsid w:val="00E46A14"/>
    <w:rsid w:val="00E5240B"/>
    <w:rsid w:val="00EA5515"/>
    <w:rsid w:val="00F00223"/>
    <w:rsid w:val="00F02F27"/>
    <w:rsid w:val="00F05063"/>
    <w:rsid w:val="0C3024B8"/>
    <w:rsid w:val="0C6F3E49"/>
    <w:rsid w:val="5AED7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1947</Words>
  <Characters>11103</Characters>
  <Lines>92</Lines>
  <Paragraphs>26</Paragraphs>
  <TotalTime>80</TotalTime>
  <ScaleCrop>false</ScaleCrop>
  <LinksUpToDate>false</LinksUpToDate>
  <CharactersWithSpaces>13024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2021-01-08T07:28:00Z</dcterms:created>
  <dc:creator>user</dc:creator>
  <cp:lastModifiedBy>ljs</cp:lastModifiedBy>
  <dcterms:modified xsi:type="dcterms:W3CDTF">2021-01-10T09:26:02Z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