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2ADDA" w14:textId="77777777"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14:paraId="603446E1" w14:textId="77777777" w:rsidR="00680D75" w:rsidRPr="00680D75" w:rsidRDefault="003034A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2018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 w:rsidR="006C01C6"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</w:p>
    <w:p w14:paraId="509018E7" w14:textId="77777777"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for the involvement of postdocs in bilateral collaboration projects </w:t>
      </w:r>
    </w:p>
    <w:p w14:paraId="431836BA" w14:textId="77777777"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14:paraId="2FD7B348" w14:textId="0FD6FFD7" w:rsidR="009217DB" w:rsidRDefault="009217DB" w:rsidP="009217DB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DESY_OCPC_2018-09</w:t>
      </w:r>
      <w:bookmarkStart w:id="0" w:name="_GoBack"/>
      <w:bookmarkEnd w:id="0"/>
    </w:p>
    <w:p w14:paraId="12F84B20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5A66BE06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14:paraId="3294DD3F" w14:textId="77777777"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14:paraId="13F89766" w14:textId="1F47CD63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  <w:r w:rsidR="00B50171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    Role of </w:t>
      </w:r>
      <w:r w:rsidR="00CF2DDC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Precision </w:t>
      </w:r>
      <w:r w:rsidR="00B50171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>Timing for Detectors at Future e+e- Colliders</w:t>
      </w:r>
    </w:p>
    <w:p w14:paraId="42D4F1E8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7E51208D" w14:textId="77777777"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Research Group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: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14:paraId="095AC82C" w14:textId="77777777" w:rsidR="00680D75" w:rsidRPr="006634DF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14:paraId="7ABDF8B4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B50171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   Jenny List</w:t>
      </w:r>
    </w:p>
    <w:p w14:paraId="64FAFE7C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14:paraId="0C01C6DF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B50171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 </w:t>
      </w:r>
      <w:r w:rsidR="009B4F0E" w:rsidRPr="009B4F0E">
        <w:rPr>
          <w:rFonts w:ascii="Calibri" w:eastAsia="SimSun" w:hAnsi="Calibri" w:cs="Times New Roman"/>
          <w:sz w:val="24"/>
          <w:szCs w:val="24"/>
          <w:lang w:val="en-GB" w:eastAsia="de-DE"/>
        </w:rPr>
        <w:t>http://flc.desy.de/</w:t>
      </w:r>
    </w:p>
    <w:p w14:paraId="3B371B19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4C176FDD" w14:textId="77777777" w:rsid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61F5CBA6" w14:textId="77777777" w:rsidR="00E82616" w:rsidRDefault="00E82616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D927EEA" w14:textId="0514740C" w:rsidR="00E82616" w:rsidRPr="00E82616" w:rsidRDefault="00E82616" w:rsidP="00402966">
      <w:pPr>
        <w:tabs>
          <w:tab w:val="left" w:pos="-709"/>
          <w:tab w:val="left" w:pos="10134"/>
        </w:tabs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E8261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The </w:t>
      </w: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goal of this project is </w:t>
      </w:r>
      <w:r w:rsidR="0073626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a comprehensive evaluation of the role </w:t>
      </w:r>
      <w:r w:rsidR="00443FFA">
        <w:rPr>
          <w:rFonts w:ascii="Calibri" w:eastAsia="SimSun" w:hAnsi="Calibri" w:cs="Times New Roman"/>
          <w:sz w:val="24"/>
          <w:szCs w:val="24"/>
          <w:lang w:val="en-GB" w:eastAsia="de-DE"/>
        </w:rPr>
        <w:t>precision</w:t>
      </w:r>
      <w:r w:rsidR="0073626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timing information could play in detector concepts for future </w:t>
      </w:r>
      <w:proofErr w:type="spellStart"/>
      <w:r w:rsidR="00736262">
        <w:rPr>
          <w:rFonts w:ascii="Calibri" w:eastAsia="SimSun" w:hAnsi="Calibri" w:cs="Times New Roman"/>
          <w:sz w:val="24"/>
          <w:szCs w:val="24"/>
          <w:lang w:val="en-GB" w:eastAsia="de-DE"/>
        </w:rPr>
        <w:t>e+e</w:t>
      </w:r>
      <w:proofErr w:type="spellEnd"/>
      <w:r w:rsidR="00736262">
        <w:rPr>
          <w:rFonts w:ascii="Calibri" w:eastAsia="SimSun" w:hAnsi="Calibri" w:cs="Times New Roman"/>
          <w:sz w:val="24"/>
          <w:szCs w:val="24"/>
          <w:lang w:val="en-GB" w:eastAsia="de-DE"/>
        </w:rPr>
        <w:t>- colliders like CEPC, FCC-</w:t>
      </w:r>
      <w:proofErr w:type="spellStart"/>
      <w:r w:rsidR="00736262">
        <w:rPr>
          <w:rFonts w:ascii="Calibri" w:eastAsia="SimSun" w:hAnsi="Calibri" w:cs="Times New Roman"/>
          <w:sz w:val="24"/>
          <w:szCs w:val="24"/>
          <w:lang w:val="en-GB" w:eastAsia="de-DE"/>
        </w:rPr>
        <w:t>ee</w:t>
      </w:r>
      <w:proofErr w:type="spellEnd"/>
      <w:r w:rsidR="00736262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, CLIC or ILC. </w:t>
      </w:r>
      <w:r w:rsidR="004F1E40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The use of timing information has not been in the focus of the detector design until recently, but with time resolutions below 100 </w:t>
      </w:r>
      <w:proofErr w:type="spellStart"/>
      <w:r w:rsidR="004F1E40">
        <w:rPr>
          <w:rFonts w:ascii="Calibri" w:eastAsia="SimSun" w:hAnsi="Calibri" w:cs="Times New Roman"/>
          <w:sz w:val="24"/>
          <w:szCs w:val="24"/>
          <w:lang w:val="en-GB" w:eastAsia="de-DE"/>
        </w:rPr>
        <w:t>ps</w:t>
      </w:r>
      <w:proofErr w:type="spellEnd"/>
      <w:r w:rsidR="004F1E40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becoming feasible for some of </w:t>
      </w:r>
      <w:r w:rsidR="00443FFA">
        <w:rPr>
          <w:rFonts w:ascii="Calibri" w:eastAsia="SimSun" w:hAnsi="Calibri" w:cs="Times New Roman"/>
          <w:sz w:val="24"/>
          <w:szCs w:val="24"/>
          <w:lang w:val="en-GB" w:eastAsia="de-DE"/>
        </w:rPr>
        <w:t>the relevant detector technologies</w:t>
      </w:r>
      <w:r w:rsidR="004F1E40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, a coherent evaluation of the potential benefits could provide strong motivation for targeted R&amp;D and eventually become important input to technology choices to be made. </w:t>
      </w:r>
      <w:r w:rsidR="009F37B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The potential use-cases for timing information range from background suppression via particle identification to assistance in clustering for particle flow reconstruction. </w:t>
      </w:r>
      <w:r w:rsidR="005D130A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Especially for the latter, significant algorithmic developments in the reconstruction software are needed. </w:t>
      </w:r>
      <w:r w:rsidR="008D0CF5">
        <w:rPr>
          <w:rFonts w:ascii="Calibri" w:eastAsia="SimSun" w:hAnsi="Calibri" w:cs="Times New Roman"/>
          <w:sz w:val="24"/>
          <w:szCs w:val="24"/>
          <w:lang w:val="en-GB" w:eastAsia="de-DE"/>
        </w:rPr>
        <w:t>F</w:t>
      </w:r>
      <w:r w:rsidR="0080397A">
        <w:rPr>
          <w:rFonts w:ascii="Calibri" w:eastAsia="SimSun" w:hAnsi="Calibri" w:cs="Times New Roman"/>
          <w:sz w:val="24"/>
          <w:szCs w:val="24"/>
          <w:lang w:val="en-GB" w:eastAsia="de-DE"/>
        </w:rPr>
        <w:t>or each of the</w:t>
      </w:r>
      <w:r w:rsidR="008D0CF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use-cases requirements </w:t>
      </w:r>
      <w:r w:rsidR="0040296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on the timing resolutions needed to achieve a substantial benefit for event reconstruction </w:t>
      </w:r>
      <w:r w:rsidR="00056C4E">
        <w:rPr>
          <w:rFonts w:ascii="Calibri" w:eastAsia="SimSun" w:hAnsi="Calibri" w:cs="Times New Roman"/>
          <w:sz w:val="24"/>
          <w:szCs w:val="24"/>
          <w:lang w:val="en-GB" w:eastAsia="de-DE"/>
        </w:rPr>
        <w:t>will be derived. Thereby, the</w:t>
      </w:r>
      <w:r w:rsidR="00E37D5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056C4E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time structures and background conditions of the different accelerators will be considered. </w:t>
      </w:r>
    </w:p>
    <w:p w14:paraId="3A2B4CB3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A2A3995" w14:textId="77777777"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1764323A" w14:textId="033433C8" w:rsidR="00E957C3" w:rsidRPr="00E957C3" w:rsidRDefault="00E957C3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An ideal collaboration partner for this project would be IHEP, continuing a fruitful existing collaboration</w:t>
      </w:r>
      <w:r w:rsidR="00E71BDA">
        <w:rPr>
          <w:rFonts w:ascii="Calibri" w:eastAsia="SimSun" w:hAnsi="Calibri" w:cs="Times New Roman"/>
          <w:sz w:val="24"/>
          <w:szCs w:val="24"/>
          <w:lang w:val="en-GB" w:eastAsia="de-DE"/>
        </w:rPr>
        <w:t>, but other, new collaboration partners with a strong experience in collider based particle physics are welcome as well.</w:t>
      </w:r>
    </w:p>
    <w:p w14:paraId="30EFD8B4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7C59477B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14:paraId="08182E93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22BF7EAB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PhD in</w:t>
      </w:r>
      <w:r w:rsidR="00944988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experimental particle physics</w:t>
      </w:r>
    </w:p>
    <w:p w14:paraId="4D06BC75" w14:textId="77777777" w:rsidR="00443FFA" w:rsidRDefault="00680D75" w:rsidP="00443FF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Experience with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944988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data analysis or development of reconstruction algorithms </w:t>
      </w:r>
    </w:p>
    <w:p w14:paraId="276B219E" w14:textId="3256022D" w:rsidR="00680D75" w:rsidRDefault="00443FFA" w:rsidP="00443FF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Basic knowledge of modern detector technologies </w:t>
      </w:r>
    </w:p>
    <w:p w14:paraId="289E3F02" w14:textId="77777777" w:rsidR="00443FFA" w:rsidRDefault="00443FFA" w:rsidP="00443FFA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59E3EE37" w14:textId="77777777" w:rsidR="00443FFA" w:rsidRDefault="00443FFA" w:rsidP="00443FFA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1836A08E" w14:textId="77777777" w:rsidR="00443FFA" w:rsidRDefault="00443FFA" w:rsidP="00443FFA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02BA22A2" w14:textId="77777777" w:rsidR="00443FFA" w:rsidRPr="00443FFA" w:rsidRDefault="00443FFA" w:rsidP="00443FFA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0866DD4F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6D44C94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2EAC818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14:paraId="040AFACB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3443E875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</w:t>
      </w:r>
      <w:r w:rsidR="003034A6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, necessary for an application to OCPC via a postdoc-station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2C39AF81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3C0EBEBE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14:paraId="1CB85D2C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14:paraId="67DB308E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14:paraId="5EE2B40A" w14:textId="77777777" w:rsid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14:paraId="3A21D886" w14:textId="77777777" w:rsidR="003034A6" w:rsidRPr="00680D75" w:rsidRDefault="003034A6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Proof of command of English language</w:t>
      </w:r>
    </w:p>
    <w:p w14:paraId="3F7C4DF1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1EC6F869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14:paraId="52349029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458B61B1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14:paraId="0F2F9341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14:paraId="2F30D0D3" w14:textId="77777777"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14:paraId="7EC7E892" w14:textId="77777777"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14:paraId="56321289" w14:textId="77777777"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14:paraId="59FE0861" w14:textId="77777777"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ECD08" w14:textId="77777777" w:rsidR="00E06A70" w:rsidRDefault="00E06A70" w:rsidP="00680D75">
      <w:pPr>
        <w:spacing w:after="0" w:line="240" w:lineRule="auto"/>
      </w:pPr>
      <w:r>
        <w:separator/>
      </w:r>
    </w:p>
  </w:endnote>
  <w:endnote w:type="continuationSeparator" w:id="0">
    <w:p w14:paraId="560F206F" w14:textId="77777777" w:rsidR="00E06A70" w:rsidRDefault="00E06A70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680D75" w14:paraId="5EF64ECD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2722084D" w14:textId="77777777" w:rsidR="00680D75" w:rsidRDefault="00680D75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5FA52E83" w14:textId="77777777" w:rsidR="00680D75" w:rsidRDefault="00680D7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9217DB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14:paraId="2A39E7F0" w14:textId="77777777" w:rsidR="00680D75" w:rsidRDefault="00680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A7205" w14:textId="77777777" w:rsidR="00E06A70" w:rsidRDefault="00E06A70" w:rsidP="00680D75">
      <w:pPr>
        <w:spacing w:after="0" w:line="240" w:lineRule="auto"/>
      </w:pPr>
      <w:r>
        <w:separator/>
      </w:r>
    </w:p>
  </w:footnote>
  <w:footnote w:type="continuationSeparator" w:id="0">
    <w:p w14:paraId="05786AA8" w14:textId="77777777" w:rsidR="00E06A70" w:rsidRDefault="00E06A70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36986" w14:textId="77777777" w:rsidR="00680D75" w:rsidRDefault="00603526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103FB427" wp14:editId="76EEF33D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80D75">
      <w:t xml:space="preserve">                                  </w:t>
    </w:r>
    <w:r w:rsidR="006C01C6">
      <w:rPr>
        <w:noProof/>
        <w:lang w:eastAsia="de-DE"/>
      </w:rPr>
      <w:drawing>
        <wp:inline distT="0" distB="0" distL="0" distR="0" wp14:anchorId="47F65868" wp14:editId="50AA6153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56C4E"/>
    <w:rsid w:val="000B35BA"/>
    <w:rsid w:val="001437EF"/>
    <w:rsid w:val="003034A6"/>
    <w:rsid w:val="003A71B7"/>
    <w:rsid w:val="003F396F"/>
    <w:rsid w:val="00402966"/>
    <w:rsid w:val="00443FFA"/>
    <w:rsid w:val="004F1E40"/>
    <w:rsid w:val="005A2D8B"/>
    <w:rsid w:val="005D130A"/>
    <w:rsid w:val="00603526"/>
    <w:rsid w:val="006634DF"/>
    <w:rsid w:val="00680D75"/>
    <w:rsid w:val="006C01C6"/>
    <w:rsid w:val="00736262"/>
    <w:rsid w:val="0080397A"/>
    <w:rsid w:val="008064FD"/>
    <w:rsid w:val="008D0CF5"/>
    <w:rsid w:val="009217DB"/>
    <w:rsid w:val="00944988"/>
    <w:rsid w:val="009B4F0E"/>
    <w:rsid w:val="009F37B5"/>
    <w:rsid w:val="00A85BE5"/>
    <w:rsid w:val="00B50171"/>
    <w:rsid w:val="00BE1BF2"/>
    <w:rsid w:val="00CF2DDC"/>
    <w:rsid w:val="00E06A70"/>
    <w:rsid w:val="00E37D55"/>
    <w:rsid w:val="00E40837"/>
    <w:rsid w:val="00E71BDA"/>
    <w:rsid w:val="00E82616"/>
    <w:rsid w:val="00E9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A68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1DF9C-0486-49CB-83C0-42D0CEF4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Berger, Sabine</cp:lastModifiedBy>
  <cp:revision>3</cp:revision>
  <dcterms:created xsi:type="dcterms:W3CDTF">2018-02-21T09:20:00Z</dcterms:created>
  <dcterms:modified xsi:type="dcterms:W3CDTF">2018-02-21T14:54:00Z</dcterms:modified>
</cp:coreProperties>
</file>