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 202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 xml:space="preserve">月14日 </w:t>
      </w:r>
    </w:p>
    <w:tbl>
      <w:tblPr>
        <w:tblStyle w:val="3"/>
        <w:tblW w:w="9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3449"/>
        <w:gridCol w:w="1438"/>
        <w:gridCol w:w="2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681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ascii="宋体" w:hAnsi="宋体"/>
                <w:sz w:val="24"/>
              </w:rPr>
            </w:pPr>
            <w:bookmarkStart w:id="0" w:name="_GoBack"/>
            <w:r>
              <w:rPr>
                <w:rFonts w:hint="eastAsia" w:ascii="宋体" w:hAnsi="宋体"/>
                <w:sz w:val="24"/>
              </w:rPr>
              <w:t>河南牧宝车居股份有限公司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681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 xml:space="preserve">□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b/>
                <w:spacing w:val="-8"/>
                <w:sz w:val="24"/>
              </w:rPr>
              <w:t>6</w:t>
            </w:r>
            <w:r>
              <w:rPr>
                <w:rFonts w:hint="eastAsia"/>
                <w:b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2010年12月29日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7280万元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蔡丹宁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开封市金明大道南段26号附1号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681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  </w:t>
            </w:r>
            <w:r>
              <w:rPr>
                <w:rFonts w:hint="eastAsia" w:ascii="宋体" w:hAnsi="宋体"/>
                <w:bCs/>
                <w:sz w:val="24"/>
              </w:rPr>
              <w:t xml:space="preserve">1.电子信息2.先进制造3.生物、医药和医疗器械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7.环境保护与资源综合利用 8.现代农业 </w:t>
            </w:r>
            <w:r>
              <w:rPr>
                <w:rFonts w:hint="eastAsia" w:ascii="宋体" w:hAnsi="宋体"/>
                <w:b/>
                <w:bCs/>
                <w:sz w:val="24"/>
              </w:rPr>
              <w:t>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99" w:type="dxa"/>
            <w:gridSpan w:val="4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技术难题及需求名称：高效能持久性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纳米除醛抗菌功能触媒材料的开发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99" w:type="dxa"/>
            <w:gridSpan w:val="4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技术难题及需求说明（具体难题或需求，以及要求达到的预期目标）</w:t>
            </w:r>
          </w:p>
          <w:p>
            <w:pPr>
              <w:rPr>
                <w:rFonts w:hint="eastAsia"/>
              </w:rPr>
            </w:pPr>
          </w:p>
          <w:p>
            <w:pPr>
              <w:numPr>
                <w:ilvl w:val="0"/>
                <w:numId w:val="1"/>
              </w:numPr>
              <w:spacing w:line="324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使用QB/T2761方法检测，无光条件下24小时甲醛去除率80%以上，有光条件下甲醛去除率达到95%以上；</w:t>
            </w:r>
          </w:p>
          <w:p>
            <w:pPr>
              <w:numPr>
                <w:ilvl w:val="0"/>
                <w:numId w:val="1"/>
              </w:numPr>
              <w:spacing w:line="324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除醛持久性，喷涂后不低于2年；</w:t>
            </w:r>
          </w:p>
          <w:p>
            <w:pPr>
              <w:numPr>
                <w:ilvl w:val="0"/>
                <w:numId w:val="1"/>
              </w:numPr>
              <w:spacing w:line="324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抗菌性达到FZ/T73023 AAA级抗菌标准，水洗50次，抑菌率：金黄色葡萄球菌≥80%，大肠杆菌≥70%，白色念珠菌≥60%；</w:t>
            </w:r>
          </w:p>
          <w:p>
            <w:pPr>
              <w:numPr>
                <w:ilvl w:val="0"/>
                <w:numId w:val="1"/>
              </w:numPr>
              <w:spacing w:line="324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急性皮肤刺激试：无刺激性；</w:t>
            </w:r>
          </w:p>
          <w:p>
            <w:pPr>
              <w:numPr>
                <w:ilvl w:val="0"/>
                <w:numId w:val="1"/>
              </w:numPr>
              <w:spacing w:line="324" w:lineRule="auto"/>
              <w:ind w:firstLine="420" w:firstLineChars="200"/>
            </w:pPr>
            <w:r>
              <w:rPr>
                <w:rFonts w:hint="eastAsia"/>
              </w:rPr>
              <w:t>急性经口毒性试验：无毒级；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9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Bahnschrift SemiBold"/>
                <w:bCs/>
                <w:sz w:val="24"/>
              </w:rPr>
              <w:t>河南牧宝车居股份有限公司（以下简称河南牧宝）成立于1993年，坐落于开封市经济技术开发区，总占地130余亩，是专业从事生态科技型汽车座垫、脚垫、车用家用纺织品研发、集成生产供应的标杆企业；注册资本7280万元，2021年末企业总资产24,765.35万元，2021年营业收入30,281.98万元。发起起草8 项行业、地方、团体标准，并通过ISO9001 质量管理体系认证、ISO14001 环境管理体系认证，TS16949 认证。实力斩获中国驰名商标，强大品牌力量，成就了牧宝领航风范。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68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☑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hnschrift SemiBold">
    <w:altName w:val="Vrinda"/>
    <w:panose1 w:val="020B0502040204020203"/>
    <w:charset w:val="00"/>
    <w:family w:val="auto"/>
    <w:pitch w:val="default"/>
    <w:sig w:usb0="00000000" w:usb1="00000000" w:usb2="00000000" w:usb3="00000000" w:csb0="2000019F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F05B80"/>
    <w:multiLevelType w:val="singleLevel"/>
    <w:tmpl w:val="EAF05B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50A833B0"/>
    <w:rsid w:val="50A8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/>
      <w:jc w:val="left"/>
      <w:outlineLvl w:val="0"/>
    </w:pPr>
    <w:rPr>
      <w:rFonts w:eastAsia="黑体"/>
      <w:bCs/>
      <w:kern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2023-05-04T09:30:00Z</dcterms:created>
  <dc:creator>Administrator</dc:creator>
  <cp:lastModifiedBy>Administrator</cp:lastModifiedBy>
  <dcterms:modified xsi:type="dcterms:W3CDTF">2023-05-04T09:31:32Z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564D923C97784561BD6253B7F686FCB6_11</vt:lpwstr>
  </property>
</Properties>
</file>